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DC711" w14:textId="77777777" w:rsidR="00FA142B" w:rsidRDefault="00FA142B" w:rsidP="004614D1">
      <w:pPr>
        <w:rPr>
          <w:rFonts w:asciiTheme="minorHAnsi" w:hAnsiTheme="minorHAnsi" w:cstheme="minorHAnsi"/>
          <w:szCs w:val="24"/>
        </w:rPr>
      </w:pPr>
    </w:p>
    <w:p w14:paraId="6C956B81" w14:textId="77777777" w:rsidR="00FA142B" w:rsidRDefault="00FA142B" w:rsidP="004614D1">
      <w:pPr>
        <w:rPr>
          <w:rFonts w:asciiTheme="minorHAnsi" w:hAnsiTheme="minorHAnsi" w:cstheme="minorHAnsi"/>
          <w:szCs w:val="24"/>
        </w:rPr>
      </w:pPr>
    </w:p>
    <w:p w14:paraId="778943FC" w14:textId="498ACADD" w:rsidR="004614D1" w:rsidRDefault="004614D1" w:rsidP="004614D1">
      <w:pPr>
        <w:rPr>
          <w:rFonts w:asciiTheme="minorHAnsi" w:hAnsiTheme="minorHAnsi" w:cstheme="minorBidi"/>
          <w:color w:val="1F497D"/>
          <w:lang w:eastAsia="en-US"/>
        </w:rPr>
      </w:pPr>
      <w:r>
        <w:rPr>
          <w:rFonts w:asciiTheme="minorHAnsi" w:hAnsiTheme="minorHAnsi" w:cstheme="minorHAnsi"/>
          <w:szCs w:val="24"/>
        </w:rPr>
        <w:t>1</w:t>
      </w:r>
      <w:r w:rsidR="00FA142B">
        <w:rPr>
          <w:rFonts w:asciiTheme="minorHAnsi" w:hAnsiTheme="minorHAnsi" w:cstheme="minorHAnsi"/>
          <w:szCs w:val="24"/>
        </w:rPr>
        <w:t>4</w:t>
      </w:r>
      <w:r>
        <w:rPr>
          <w:rFonts w:asciiTheme="minorHAnsi" w:hAnsiTheme="minorHAnsi" w:cstheme="minorHAnsi"/>
          <w:szCs w:val="24"/>
        </w:rPr>
        <w:t xml:space="preserve"> de março de 2018 </w:t>
      </w:r>
    </w:p>
    <w:p w14:paraId="68022383" w14:textId="77777777" w:rsidR="004614D1" w:rsidRDefault="004614D1" w:rsidP="004614D1">
      <w:pPr>
        <w:rPr>
          <w:rFonts w:asciiTheme="minorHAnsi" w:hAnsiTheme="minorHAnsi" w:cstheme="minorHAnsi"/>
          <w:szCs w:val="24"/>
          <w:lang w:eastAsia="en-US"/>
        </w:rPr>
      </w:pPr>
    </w:p>
    <w:p w14:paraId="2851E6C9" w14:textId="77777777" w:rsidR="00FA142B" w:rsidRDefault="00FA142B" w:rsidP="000850BB">
      <w:pPr>
        <w:pStyle w:val="Prrafodelista"/>
        <w:tabs>
          <w:tab w:val="left" w:pos="0"/>
        </w:tabs>
        <w:ind w:left="0"/>
        <w:jc w:val="center"/>
        <w:rPr>
          <w:b/>
          <w:sz w:val="24"/>
        </w:rPr>
      </w:pPr>
    </w:p>
    <w:p w14:paraId="35195A4B" w14:textId="3B4A314B" w:rsidR="00F268FD" w:rsidRDefault="008F4E87" w:rsidP="000850BB">
      <w:pPr>
        <w:pStyle w:val="Prrafodelista"/>
        <w:tabs>
          <w:tab w:val="left" w:pos="0"/>
        </w:tabs>
        <w:ind w:left="0"/>
        <w:jc w:val="center"/>
        <w:rPr>
          <w:b/>
          <w:sz w:val="24"/>
        </w:rPr>
      </w:pPr>
      <w:r>
        <w:rPr>
          <w:b/>
          <w:sz w:val="24"/>
        </w:rPr>
        <w:t>M</w:t>
      </w:r>
      <w:r w:rsidR="008C6682">
        <w:rPr>
          <w:b/>
          <w:sz w:val="24"/>
        </w:rPr>
        <w:t xml:space="preserve">ais recentes inovações da Philips Lighting tornam a mudança para iluminação LED mais fácil do que nunca </w:t>
      </w:r>
    </w:p>
    <w:p w14:paraId="28A9B2D5" w14:textId="77777777" w:rsidR="00381AE4" w:rsidRDefault="00381AE4" w:rsidP="00381AE4">
      <w:pPr>
        <w:rPr>
          <w:b/>
          <w:bCs/>
          <w:szCs w:val="22"/>
        </w:rPr>
      </w:pPr>
    </w:p>
    <w:p w14:paraId="113E6914" w14:textId="40204316" w:rsidR="00DA4D83" w:rsidRPr="00D76AFD" w:rsidRDefault="00D76AFD" w:rsidP="00381AE4">
      <w:pPr>
        <w:rPr>
          <w:szCs w:val="22"/>
        </w:rPr>
      </w:pPr>
      <w:r>
        <w:rPr>
          <w:b/>
          <w:bCs/>
          <w:szCs w:val="22"/>
        </w:rPr>
        <w:t>Lisboa, Portugal</w:t>
      </w:r>
      <w:r w:rsidR="00F268FD">
        <w:rPr>
          <w:b/>
          <w:bCs/>
          <w:szCs w:val="22"/>
        </w:rPr>
        <w:t xml:space="preserve"> –</w:t>
      </w:r>
      <w:r w:rsidR="00F268FD">
        <w:rPr>
          <w:szCs w:val="22"/>
        </w:rPr>
        <w:t xml:space="preserve"> </w:t>
      </w:r>
      <w:r>
        <w:rPr>
          <w:szCs w:val="22"/>
        </w:rPr>
        <w:t xml:space="preserve">A </w:t>
      </w:r>
      <w:r w:rsidR="00F268FD">
        <w:rPr>
          <w:szCs w:val="22"/>
        </w:rPr>
        <w:t>Philips Lighting (Euronext: LIGHT), líder mundial em iluminação, anunciou hoje</w:t>
      </w:r>
      <w:r w:rsidR="00F268FD">
        <w:rPr>
          <w:rFonts w:asciiTheme="minorHAnsi" w:hAnsiTheme="minorHAnsi" w:cstheme="minorHAnsi"/>
          <w:szCs w:val="24"/>
        </w:rPr>
        <w:t xml:space="preserve"> duas novas inovações, a </w:t>
      </w:r>
      <w:r w:rsidR="00F268FD">
        <w:rPr>
          <w:rFonts w:asciiTheme="minorHAnsi" w:hAnsiTheme="minorHAnsi" w:cstheme="minorHAnsi"/>
          <w:b/>
          <w:szCs w:val="24"/>
        </w:rPr>
        <w:t xml:space="preserve">Philips TrueForce LED </w:t>
      </w:r>
      <w:r w:rsidR="00F268FD">
        <w:rPr>
          <w:b/>
          <w:bCs/>
          <w:szCs w:val="22"/>
        </w:rPr>
        <w:t>Road</w:t>
      </w:r>
      <w:r w:rsidR="00F268FD">
        <w:rPr>
          <w:bCs/>
          <w:szCs w:val="22"/>
        </w:rPr>
        <w:t xml:space="preserve"> e a </w:t>
      </w:r>
      <w:r w:rsidR="00F268FD">
        <w:rPr>
          <w:b/>
          <w:szCs w:val="22"/>
        </w:rPr>
        <w:t xml:space="preserve">Philips CorePro LEDtube Universal T8. </w:t>
      </w:r>
      <w:r w:rsidR="00F268FD">
        <w:rPr>
          <w:rFonts w:asciiTheme="minorHAnsi" w:hAnsiTheme="minorHAnsi" w:cstheme="minorHAnsi"/>
          <w:szCs w:val="24"/>
        </w:rPr>
        <w:t xml:space="preserve">A Philips TrueForce LED </w:t>
      </w:r>
      <w:r w:rsidR="00F268FD">
        <w:rPr>
          <w:bCs/>
          <w:szCs w:val="22"/>
        </w:rPr>
        <w:t>Road</w:t>
      </w:r>
      <w:r w:rsidR="00F268FD">
        <w:rPr>
          <w:b/>
          <w:szCs w:val="22"/>
        </w:rPr>
        <w:t xml:space="preserve"> </w:t>
      </w:r>
      <w:r w:rsidR="00F268FD">
        <w:rPr>
          <w:bCs/>
          <w:szCs w:val="22"/>
        </w:rPr>
        <w:t xml:space="preserve">é a primeira lâmpada LED SON-T "plug and play" do mundo para substituição de iluminação de rua, </w:t>
      </w:r>
      <w:r w:rsidR="00F268FD">
        <w:rPr>
          <w:szCs w:val="22"/>
        </w:rPr>
        <w:t>facilitando a atualização de instalações existentes para LED, sem a necessidade de substituir a luminária</w:t>
      </w:r>
      <w:r w:rsidR="00F268FD">
        <w:rPr>
          <w:bCs/>
          <w:szCs w:val="22"/>
        </w:rPr>
        <w:t xml:space="preserve">. A </w:t>
      </w:r>
      <w:r w:rsidR="00F268FD">
        <w:rPr>
          <w:szCs w:val="22"/>
        </w:rPr>
        <w:t>Philips CorePro LEDtube Universal T8 é uma gama inovadora de tubos acessíveis para clientes comerciais, que torna a substituição de tubos tão fácil quanto era com a substituição de tubos fluorescentes.</w:t>
      </w:r>
    </w:p>
    <w:p w14:paraId="2251D39F" w14:textId="77777777" w:rsidR="00DA4D83" w:rsidRPr="00D76AFD" w:rsidRDefault="00DA4D83" w:rsidP="00381AE4">
      <w:pPr>
        <w:rPr>
          <w:szCs w:val="22"/>
        </w:rPr>
      </w:pPr>
    </w:p>
    <w:p w14:paraId="38304CCF" w14:textId="690F6D02" w:rsidR="002F0870" w:rsidRDefault="00AF3CF4" w:rsidP="00A24FAF">
      <w:pPr>
        <w:rPr>
          <w:b/>
          <w:bCs/>
          <w:szCs w:val="22"/>
        </w:rPr>
      </w:pPr>
      <w:r>
        <w:rPr>
          <w:b/>
          <w:szCs w:val="22"/>
        </w:rPr>
        <w:t xml:space="preserve">Philips TrueForce LED Road </w:t>
      </w:r>
      <w:r>
        <w:rPr>
          <w:b/>
          <w:bCs/>
          <w:szCs w:val="22"/>
        </w:rPr>
        <w:t>para iluminação de rua "de igual para igual"</w:t>
      </w:r>
    </w:p>
    <w:p w14:paraId="0FD5C437" w14:textId="77777777" w:rsidR="00FA142B" w:rsidRPr="00D76AFD" w:rsidRDefault="00FA142B" w:rsidP="00A24FAF">
      <w:pPr>
        <w:rPr>
          <w:szCs w:val="22"/>
        </w:rPr>
      </w:pPr>
    </w:p>
    <w:p w14:paraId="2FFF7711" w14:textId="77777777" w:rsidR="00C64D7F" w:rsidRPr="00D76AFD" w:rsidRDefault="00A24FAF" w:rsidP="00A24FAF">
      <w:pPr>
        <w:rPr>
          <w:szCs w:val="22"/>
        </w:rPr>
      </w:pPr>
      <w:r>
        <w:rPr>
          <w:szCs w:val="22"/>
        </w:rPr>
        <w:t xml:space="preserve">A nova </w:t>
      </w:r>
      <w:r>
        <w:rPr>
          <w:b/>
          <w:szCs w:val="22"/>
        </w:rPr>
        <w:t xml:space="preserve">Philips TrueForce LED Road </w:t>
      </w:r>
      <w:r>
        <w:rPr>
          <w:szCs w:val="22"/>
        </w:rPr>
        <w:t>é a primeira do seu tipo a encaixar no equipamento E27 standard e a replicar um efeito de luz semelhante ao da iluminação de rua convencional. A Philips TrueForce LED Road reduz o tempo necessário para manter, substituir e instalar cada luz de rua, incluindo o tempo em que é necessário fechar a rua. Para além disso, a sua vida útil mais longa, de mais de oito anos, em conjunto com as poupanças de energia de até 45% em comparação com as lâmpadas convencionais, ajudam a poupar nos custos de funcionamento.</w:t>
      </w:r>
    </w:p>
    <w:p w14:paraId="7687A728" w14:textId="77777777" w:rsidR="00FA53D5" w:rsidRDefault="00FA53D5" w:rsidP="00FA53D5"/>
    <w:p w14:paraId="4D249D85" w14:textId="77777777" w:rsidR="00FA53D5" w:rsidRDefault="00FA53D5" w:rsidP="00FA53D5">
      <w:pPr>
        <w:rPr>
          <w:bCs/>
          <w:iCs/>
        </w:rPr>
      </w:pPr>
      <w:r>
        <w:t xml:space="preserve">O Município de Nacka, na Suécia, já testou a nova Philips TrueForce LED Road. </w:t>
      </w:r>
      <w:r>
        <w:rPr>
          <w:bCs/>
          <w:iCs/>
        </w:rPr>
        <w:t>Mikael Jansson,</w:t>
      </w:r>
      <w:r>
        <w:t xml:space="preserve"> o especialista de iluminação de rua do município, afirmou: </w:t>
      </w:r>
      <w:r>
        <w:rPr>
          <w:bCs/>
          <w:iCs/>
        </w:rPr>
        <w:t xml:space="preserve">"A </w:t>
      </w:r>
      <w:r>
        <w:rPr>
          <w:rFonts w:asciiTheme="minorHAnsi" w:hAnsiTheme="minorHAnsi" w:cstheme="minorHAnsi"/>
          <w:szCs w:val="24"/>
        </w:rPr>
        <w:t xml:space="preserve">Philips TrueForce LED </w:t>
      </w:r>
      <w:r>
        <w:rPr>
          <w:bCs/>
          <w:szCs w:val="22"/>
        </w:rPr>
        <w:t xml:space="preserve">Road </w:t>
      </w:r>
      <w:r>
        <w:rPr>
          <w:bCs/>
          <w:iCs/>
        </w:rPr>
        <w:t xml:space="preserve">fornece uma melhor qualidade de luz e um ambiente exterior mais seguro em comparação com uma lâmpada de sódio de alta pressão de 70 W. A instalação foi tão fácil quanto instalar uma lâmpada normal e encaixou em várias aplicações diferentes. A Philips TrueForce LED Road é uma boa alternativa às luminárias LED quando os orçamentos são apertados." </w:t>
      </w:r>
    </w:p>
    <w:p w14:paraId="10BBD80D" w14:textId="77777777" w:rsidR="00C64D7F" w:rsidRPr="00D76AFD" w:rsidRDefault="00C64D7F" w:rsidP="00A24FAF">
      <w:pPr>
        <w:rPr>
          <w:szCs w:val="22"/>
        </w:rPr>
      </w:pPr>
    </w:p>
    <w:p w14:paraId="115C314F" w14:textId="77777777" w:rsidR="005D4BC3" w:rsidRPr="00D76AFD" w:rsidRDefault="00C64D7F" w:rsidP="00DA4D83">
      <w:pPr>
        <w:autoSpaceDE w:val="0"/>
        <w:autoSpaceDN w:val="0"/>
        <w:rPr>
          <w:szCs w:val="22"/>
        </w:rPr>
      </w:pPr>
      <w:r>
        <w:rPr>
          <w:szCs w:val="22"/>
        </w:rPr>
        <w:t xml:space="preserve">Modernizando o design de iluminação de rua tradicional, com 20 a 30 anos, a nova </w:t>
      </w:r>
      <w:r>
        <w:rPr>
          <w:rFonts w:asciiTheme="minorHAnsi" w:hAnsiTheme="minorHAnsi" w:cstheme="minorHAnsi"/>
          <w:szCs w:val="24"/>
        </w:rPr>
        <w:t xml:space="preserve">Philips TrueForce LED </w:t>
      </w:r>
      <w:r>
        <w:rPr>
          <w:bCs/>
          <w:szCs w:val="22"/>
        </w:rPr>
        <w:t xml:space="preserve">Road distribui uma quantidade de luz semelhante à das luzes de rua convencionais e </w:t>
      </w:r>
      <w:r>
        <w:rPr>
          <w:szCs w:val="22"/>
        </w:rPr>
        <w:t xml:space="preserve">está disponível em branco quente e em branco mais frio, de modo a </w:t>
      </w:r>
      <w:r>
        <w:rPr>
          <w:bCs/>
          <w:szCs w:val="22"/>
        </w:rPr>
        <w:t xml:space="preserve">integrar-se perfeitamente com as luzes de rua existentes. </w:t>
      </w:r>
      <w:bookmarkStart w:id="0" w:name="_Hlk508117294"/>
      <w:r>
        <w:rPr>
          <w:bCs/>
          <w:szCs w:val="22"/>
        </w:rPr>
        <w:t>Com um Índice de Restituição Cromática significativamente melhorado em comparação com as lâmpadas SON-T convencionais, também melhora a sensação de conforto e segurança.</w:t>
      </w:r>
      <w:bookmarkEnd w:id="0"/>
      <w:r>
        <w:rPr>
          <w:bCs/>
          <w:szCs w:val="22"/>
        </w:rPr>
        <w:t xml:space="preserve"> A Philips TrueForce LED Road estará disponível em toda a Europa a partir de julho de 2018.</w:t>
      </w:r>
      <w:r>
        <w:rPr>
          <w:szCs w:val="22"/>
        </w:rPr>
        <w:t xml:space="preserve"> </w:t>
      </w:r>
    </w:p>
    <w:p w14:paraId="18DC5B39" w14:textId="77777777" w:rsidR="008933BD" w:rsidRDefault="008933BD" w:rsidP="008047AD"/>
    <w:p w14:paraId="58A46409" w14:textId="69642261" w:rsidR="00260B1C" w:rsidRPr="00C65231" w:rsidRDefault="00260B1C" w:rsidP="00C65231">
      <w:pPr>
        <w:rPr>
          <w:b/>
          <w:szCs w:val="22"/>
        </w:rPr>
      </w:pPr>
      <w:r>
        <w:rPr>
          <w:b/>
          <w:szCs w:val="22"/>
        </w:rPr>
        <w:t>Portefólio de Tubos LED Universais</w:t>
      </w:r>
      <w:r w:rsidR="00F85EFE">
        <w:rPr>
          <w:b/>
          <w:szCs w:val="22"/>
        </w:rPr>
        <w:t xml:space="preserve"> reforçado, com uma nova gama a</w:t>
      </w:r>
      <w:r>
        <w:rPr>
          <w:b/>
          <w:szCs w:val="22"/>
        </w:rPr>
        <w:t>cessível para Clientes Comerciais</w:t>
      </w:r>
    </w:p>
    <w:p w14:paraId="0A52A7F2" w14:textId="77777777" w:rsidR="00FA142B" w:rsidRDefault="00FA142B" w:rsidP="00260B1C"/>
    <w:p w14:paraId="359E8E4D" w14:textId="16D52755" w:rsidR="00B721AC" w:rsidRPr="00D76AFD" w:rsidRDefault="00260B1C" w:rsidP="00260B1C">
      <w:r>
        <w:t xml:space="preserve">A Philips Lighting anunciou </w:t>
      </w:r>
      <w:r w:rsidR="00F85EFE">
        <w:t xml:space="preserve">também </w:t>
      </w:r>
      <w:r>
        <w:t xml:space="preserve">uma inovadora gama de tubos universais, a gama </w:t>
      </w:r>
      <w:r>
        <w:rPr>
          <w:b/>
          <w:bCs/>
        </w:rPr>
        <w:t>Philips CorePro LEDtube Universal T8</w:t>
      </w:r>
      <w:r>
        <w:t xml:space="preserve">, para clientes comerciais. Com esta nova </w:t>
      </w:r>
      <w:r w:rsidR="009E50D8">
        <w:t>gama</w:t>
      </w:r>
      <w:r>
        <w:t xml:space="preserve">, a Philips Lighting disponibiliza agora a mais vasta gama de tubos LED do setor para diferentes aplicações, servindo o mercado de especificações de ponta através da gama Master Universal existente, bem como clientes comerciais através da gama CorePro Universal. </w:t>
      </w:r>
    </w:p>
    <w:p w14:paraId="1EC6026E" w14:textId="77777777" w:rsidR="00B721AC" w:rsidRPr="00D76AFD" w:rsidRDefault="00B721AC" w:rsidP="00260B1C"/>
    <w:p w14:paraId="2D58035D" w14:textId="77777777" w:rsidR="00260B1C" w:rsidRPr="00D76AFD" w:rsidRDefault="00260B1C" w:rsidP="00260B1C">
      <w:pPr>
        <w:rPr>
          <w:rFonts w:eastAsiaTheme="minorHAnsi"/>
          <w:szCs w:val="22"/>
        </w:rPr>
      </w:pPr>
      <w:r>
        <w:t xml:space="preserve">Tirando partido da experiência da Philips Lighting, o tubo Philips CorePro LED Universal T8 torna a instalação de tubos tão fácil quanto costumava ser com os tubos fluorescentes. Quando comparada </w:t>
      </w:r>
      <w:r>
        <w:lastRenderedPageBreak/>
        <w:t>com os tubos LED universais de ponta, esta gama é acessível, tornando-a na alternativa ideal às luzes fluorescentes standard para clientes comerciais.</w:t>
      </w:r>
    </w:p>
    <w:p w14:paraId="2485D29D" w14:textId="77777777" w:rsidR="00DA4D83" w:rsidRPr="00D76AFD" w:rsidRDefault="00DA4D83" w:rsidP="00C1403A">
      <w:pPr>
        <w:rPr>
          <w:szCs w:val="22"/>
        </w:rPr>
      </w:pPr>
    </w:p>
    <w:p w14:paraId="3CEDA3FB" w14:textId="77777777" w:rsidR="00B721AC" w:rsidRPr="00D76AFD" w:rsidRDefault="00C1403A" w:rsidP="004614D1">
      <w:pPr>
        <w:rPr>
          <w:szCs w:val="22"/>
        </w:rPr>
      </w:pPr>
      <w:r>
        <w:rPr>
          <w:szCs w:val="22"/>
        </w:rPr>
        <w:t xml:space="preserve">Concebido para uma maior simplicidade, o tubo T8 Universal foi otimizado para funcionar com todas as tecnologias de controlador, podendo ser diretamente instalado em luminárias que funcionam em balastros eletromagnéticos ou balastros eletrónicos de alta frequência, reduzindo os custos de manter em stock diferentes tipos de tubos. O tubo Philips CorePro LED Universal T8 também pode ser ligado diretamente à alimentação de rede elétrica, dispensando o balastro. Isto permite poupanças de energia adicionais. E, ao simplificar o processo de seleção do tubo, permite que os profissionais de iluminação organizem o seu tempo, experiência e recursos na instalação da iluminação perfeita para diferentes necessidades. </w:t>
      </w:r>
    </w:p>
    <w:p w14:paraId="03B8B0F3" w14:textId="77777777" w:rsidR="00B721AC" w:rsidRPr="00D76AFD" w:rsidRDefault="00B721AC" w:rsidP="004614D1"/>
    <w:p w14:paraId="5F6908CE" w14:textId="195800B8" w:rsidR="003B594B" w:rsidRPr="00D76AFD" w:rsidRDefault="006052E3" w:rsidP="004614D1">
      <w:pPr>
        <w:rPr>
          <w:szCs w:val="22"/>
        </w:rPr>
      </w:pPr>
      <w:r>
        <w:t>Concebido para iluminação de uma grande variedade de espaços, tais como parques de estacionamento, garagens, corredores e centros comerciais, o novo tubo LED</w:t>
      </w:r>
      <w:r>
        <w:rPr>
          <w:szCs w:val="22"/>
        </w:rPr>
        <w:t xml:space="preserve"> fornece uma luz de alta qualidade e fiabilidade, em conjunto com </w:t>
      </w:r>
      <w:r w:rsidR="0008741C">
        <w:rPr>
          <w:szCs w:val="22"/>
        </w:rPr>
        <w:t xml:space="preserve">uma </w:t>
      </w:r>
      <w:r>
        <w:rPr>
          <w:szCs w:val="22"/>
        </w:rPr>
        <w:t xml:space="preserve">poupança de energia de até 65%, quando comparado com os tubos TL-D tradicionais que substitui. O Philips CorePro LEDtube Universal T8 estará disponível em toda a Europa a partir de maio de 2018. </w:t>
      </w:r>
    </w:p>
    <w:p w14:paraId="5B83BF52" w14:textId="77777777" w:rsidR="004D45B8" w:rsidRPr="00D76AFD" w:rsidRDefault="004D45B8" w:rsidP="007360E0">
      <w:pPr>
        <w:rPr>
          <w:lang w:eastAsia="en-GB"/>
        </w:rPr>
      </w:pPr>
    </w:p>
    <w:p w14:paraId="684F89A0" w14:textId="77A18BD0" w:rsidR="004D45B8" w:rsidRDefault="004D45B8" w:rsidP="004D45B8">
      <w:r w:rsidRPr="00D76AFD">
        <w:rPr>
          <w:lang w:val="en-US"/>
        </w:rPr>
        <w:t xml:space="preserve">A Philips Lighting </w:t>
      </w:r>
      <w:proofErr w:type="spellStart"/>
      <w:r w:rsidRPr="00D76AFD">
        <w:rPr>
          <w:lang w:val="en-US"/>
        </w:rPr>
        <w:t>irá</w:t>
      </w:r>
      <w:proofErr w:type="spellEnd"/>
      <w:r w:rsidRPr="00D76AFD">
        <w:rPr>
          <w:lang w:val="en-US"/>
        </w:rPr>
        <w:t xml:space="preserve"> </w:t>
      </w:r>
      <w:proofErr w:type="spellStart"/>
      <w:r w:rsidRPr="00D76AFD">
        <w:rPr>
          <w:lang w:val="en-US"/>
        </w:rPr>
        <w:t>demonstrar</w:t>
      </w:r>
      <w:proofErr w:type="spellEnd"/>
      <w:r w:rsidRPr="00D76AFD">
        <w:rPr>
          <w:lang w:val="en-US"/>
        </w:rPr>
        <w:t xml:space="preserve"> as </w:t>
      </w:r>
      <w:proofErr w:type="spellStart"/>
      <w:r w:rsidRPr="00D76AFD">
        <w:rPr>
          <w:lang w:val="en-US"/>
        </w:rPr>
        <w:t>suas</w:t>
      </w:r>
      <w:proofErr w:type="spellEnd"/>
      <w:r w:rsidRPr="00D76AFD">
        <w:rPr>
          <w:lang w:val="en-US"/>
        </w:rPr>
        <w:t xml:space="preserve"> </w:t>
      </w:r>
      <w:proofErr w:type="spellStart"/>
      <w:r w:rsidRPr="00D76AFD">
        <w:rPr>
          <w:lang w:val="en-US"/>
        </w:rPr>
        <w:t>novas</w:t>
      </w:r>
      <w:proofErr w:type="spellEnd"/>
      <w:r w:rsidRPr="00D76AFD">
        <w:rPr>
          <w:lang w:val="en-US"/>
        </w:rPr>
        <w:t xml:space="preserve"> </w:t>
      </w:r>
      <w:proofErr w:type="spellStart"/>
      <w:r w:rsidRPr="00D76AFD">
        <w:rPr>
          <w:lang w:val="en-US"/>
        </w:rPr>
        <w:t>lâmpadas</w:t>
      </w:r>
      <w:proofErr w:type="spellEnd"/>
      <w:r w:rsidRPr="00D76AFD">
        <w:rPr>
          <w:lang w:val="en-US"/>
        </w:rPr>
        <w:t xml:space="preserve"> LED </w:t>
      </w:r>
      <w:proofErr w:type="spellStart"/>
      <w:r w:rsidRPr="00D76AFD">
        <w:rPr>
          <w:lang w:val="en-US"/>
        </w:rPr>
        <w:t>na</w:t>
      </w:r>
      <w:proofErr w:type="spellEnd"/>
      <w:r w:rsidRPr="00D76AFD">
        <w:rPr>
          <w:lang w:val="en-US"/>
        </w:rPr>
        <w:t xml:space="preserve"> </w:t>
      </w:r>
      <w:proofErr w:type="spellStart"/>
      <w:r w:rsidRPr="00D76AFD">
        <w:rPr>
          <w:lang w:val="en-US"/>
        </w:rPr>
        <w:t>Light+Building</w:t>
      </w:r>
      <w:proofErr w:type="spellEnd"/>
      <w:r w:rsidRPr="00D76AFD">
        <w:rPr>
          <w:lang w:val="en-US"/>
        </w:rPr>
        <w:t xml:space="preserve"> 2018, no stand da Philips Lighting no Hall 0: Forum.</w:t>
      </w:r>
      <w:r w:rsidRPr="00D76AFD">
        <w:rPr>
          <w:color w:val="FF0000"/>
          <w:lang w:val="en-US"/>
        </w:rPr>
        <w:t xml:space="preserve"> </w:t>
      </w:r>
      <w:r>
        <w:t xml:space="preserve">Os </w:t>
      </w:r>
      <w:r w:rsidR="0008741C">
        <w:t>jornalistas</w:t>
      </w:r>
      <w:r>
        <w:t xml:space="preserve"> e bloggers estão convidados a juntar-se à conferência de imprensa da Philips Lighting na segunda-feira, dia 19 de março, às 13h</w:t>
      </w:r>
      <w:r w:rsidR="0008741C">
        <w:t>00</w:t>
      </w:r>
      <w:r>
        <w:t xml:space="preserve"> no stand da Philips Lighting. Pode também assistir ao webcast ao vivo da conferência de imprensa </w:t>
      </w:r>
      <w:hyperlink r:id="rId8" w:history="1">
        <w:r>
          <w:rPr>
            <w:rStyle w:val="Hipervnculo"/>
          </w:rPr>
          <w:t>Clique aqui.</w:t>
        </w:r>
      </w:hyperlink>
      <w:r>
        <w:t xml:space="preserve"> </w:t>
      </w:r>
    </w:p>
    <w:p w14:paraId="75527F93" w14:textId="77777777" w:rsidR="00D76AFD" w:rsidRDefault="00D76AFD" w:rsidP="004D45B8"/>
    <w:p w14:paraId="78F51AB7" w14:textId="77777777" w:rsidR="00D76AFD" w:rsidRDefault="00D76AFD" w:rsidP="004D45B8"/>
    <w:p w14:paraId="4D1F9EB3" w14:textId="77777777" w:rsidR="00D76AFD" w:rsidRPr="00D76AFD" w:rsidRDefault="00D76AFD" w:rsidP="00D76AFD">
      <w:pPr>
        <w:rPr>
          <w:rFonts w:cs="Calibri"/>
          <w:b/>
          <w:lang w:eastAsia="fr-FR" w:bidi="fr-FR"/>
        </w:rPr>
      </w:pPr>
      <w:r w:rsidRPr="00D76AFD">
        <w:rPr>
          <w:rFonts w:cs="Calibri"/>
          <w:b/>
          <w:lang w:eastAsia="fr-FR" w:bidi="fr-FR"/>
        </w:rPr>
        <w:t>Para mais informações, contacte:</w:t>
      </w:r>
    </w:p>
    <w:p w14:paraId="5118077A" w14:textId="77777777" w:rsidR="00D76AFD" w:rsidRPr="00D76AFD" w:rsidRDefault="00D76AFD" w:rsidP="00D76AFD">
      <w:pPr>
        <w:rPr>
          <w:rFonts w:cs="Calibri"/>
          <w:lang w:eastAsia="en-US" w:bidi="fr-FR"/>
        </w:rPr>
      </w:pPr>
    </w:p>
    <w:tbl>
      <w:tblPr>
        <w:tblStyle w:val="Tablaconcuadrcula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402"/>
      </w:tblGrid>
      <w:tr w:rsidR="00D76AFD" w:rsidRPr="00D76AFD" w14:paraId="07326F41" w14:textId="77777777" w:rsidTr="00DA075A">
        <w:tc>
          <w:tcPr>
            <w:tcW w:w="5103" w:type="dxa"/>
          </w:tcPr>
          <w:p w14:paraId="21E3B3FB" w14:textId="77777777" w:rsidR="00D76AFD" w:rsidRPr="00D76AFD" w:rsidRDefault="00D76AFD" w:rsidP="00D76AFD">
            <w:pPr>
              <w:rPr>
                <w:rFonts w:cs="Calibri"/>
                <w:b/>
                <w:szCs w:val="22"/>
                <w:lang w:val="en-US"/>
              </w:rPr>
            </w:pPr>
            <w:r w:rsidRPr="00D76AFD">
              <w:rPr>
                <w:rFonts w:cs="Calibri"/>
                <w:b/>
                <w:szCs w:val="22"/>
                <w:lang w:val="en-US"/>
              </w:rPr>
              <w:t>Philips Lighting Portugal &amp; Spain</w:t>
            </w:r>
          </w:p>
          <w:p w14:paraId="377C63CC" w14:textId="77777777" w:rsidR="00D76AFD" w:rsidRPr="00D76AFD" w:rsidRDefault="00D76AFD" w:rsidP="00D76AFD">
            <w:pPr>
              <w:rPr>
                <w:rFonts w:cs="Calibri"/>
                <w:szCs w:val="22"/>
                <w:lang w:val="en-US"/>
              </w:rPr>
            </w:pPr>
            <w:r w:rsidRPr="00D76AFD">
              <w:rPr>
                <w:rFonts w:cs="Calibri"/>
                <w:szCs w:val="22"/>
                <w:lang w:val="en-US"/>
              </w:rPr>
              <w:t>Jordi Manrique</w:t>
            </w:r>
          </w:p>
          <w:p w14:paraId="3A0D6B1E" w14:textId="77777777" w:rsidR="00D76AFD" w:rsidRPr="00D76AFD" w:rsidRDefault="00D76AFD" w:rsidP="00D76AFD">
            <w:pPr>
              <w:rPr>
                <w:rFonts w:cs="Calibri"/>
                <w:szCs w:val="22"/>
                <w:lang w:val="en-US"/>
              </w:rPr>
            </w:pPr>
            <w:r w:rsidRPr="00D76AFD">
              <w:rPr>
                <w:rFonts w:cs="Calibri"/>
                <w:szCs w:val="22"/>
                <w:lang w:val="en-US"/>
              </w:rPr>
              <w:t>Philips Lighting Portugal &amp; Spain</w:t>
            </w:r>
          </w:p>
          <w:p w14:paraId="2FD327DB" w14:textId="77777777" w:rsidR="00D76AFD" w:rsidRPr="00D76AFD" w:rsidRDefault="00D76AFD" w:rsidP="00D76AFD">
            <w:pPr>
              <w:rPr>
                <w:rFonts w:cs="Calibri"/>
                <w:szCs w:val="22"/>
                <w:lang w:val="en-US"/>
              </w:rPr>
            </w:pPr>
            <w:r w:rsidRPr="00D76AFD">
              <w:rPr>
                <w:rFonts w:cs="Calibri"/>
                <w:szCs w:val="22"/>
                <w:lang w:val="en-US"/>
              </w:rPr>
              <w:t>Tel.: +34 672 221 958</w:t>
            </w:r>
          </w:p>
          <w:p w14:paraId="52ACBAC0" w14:textId="77777777" w:rsidR="00D76AFD" w:rsidRPr="00D76AFD" w:rsidRDefault="00D76AFD" w:rsidP="00D76AFD">
            <w:pPr>
              <w:rPr>
                <w:rFonts w:cs="Calibri"/>
                <w:b/>
                <w:szCs w:val="22"/>
                <w:lang w:val="pt-PT"/>
              </w:rPr>
            </w:pPr>
            <w:r w:rsidRPr="00D76AFD">
              <w:rPr>
                <w:rFonts w:cs="Calibri"/>
                <w:szCs w:val="22"/>
                <w:lang w:val="pt-PT"/>
              </w:rPr>
              <w:t xml:space="preserve">E-mail: </w:t>
            </w:r>
            <w:hyperlink r:id="rId9" w:history="1">
              <w:r w:rsidRPr="00D76AFD">
                <w:rPr>
                  <w:color w:val="0000FF"/>
                  <w:szCs w:val="22"/>
                  <w:u w:val="single"/>
                  <w:lang w:val="pt-PT"/>
                </w:rPr>
                <w:t>jordi.manrique@philips.com</w:t>
              </w:r>
            </w:hyperlink>
            <w:r w:rsidRPr="00D76AFD">
              <w:rPr>
                <w:rFonts w:cs="Calibri"/>
                <w:b/>
                <w:szCs w:val="22"/>
                <w:lang w:val="pt-PT"/>
              </w:rPr>
              <w:t xml:space="preserve"> </w:t>
            </w:r>
          </w:p>
          <w:p w14:paraId="47852873" w14:textId="77777777" w:rsidR="00D76AFD" w:rsidRPr="00D76AFD" w:rsidRDefault="00D76AFD" w:rsidP="00D76AFD">
            <w:pPr>
              <w:rPr>
                <w:rFonts w:cs="Calibri"/>
                <w:b/>
                <w:szCs w:val="22"/>
                <w:lang w:val="pt-PT"/>
              </w:rPr>
            </w:pPr>
          </w:p>
          <w:p w14:paraId="5A6D8F4E" w14:textId="77777777" w:rsidR="00D76AFD" w:rsidRPr="00D76AFD" w:rsidRDefault="00D76AFD" w:rsidP="00D76AFD">
            <w:pPr>
              <w:rPr>
                <w:rFonts w:cs="Calibri"/>
                <w:b/>
                <w:szCs w:val="22"/>
                <w:lang w:val="pt-PT"/>
              </w:rPr>
            </w:pPr>
            <w:r w:rsidRPr="00D76AFD">
              <w:rPr>
                <w:rFonts w:cs="Calibri"/>
                <w:b/>
                <w:szCs w:val="22"/>
                <w:lang w:val="pt-PT"/>
              </w:rPr>
              <w:t>Omnicom PR Group</w:t>
            </w:r>
          </w:p>
          <w:p w14:paraId="381F80C6" w14:textId="77777777" w:rsidR="00D76AFD" w:rsidRPr="00D76AFD" w:rsidRDefault="00D76AFD" w:rsidP="00D76AFD">
            <w:pPr>
              <w:rPr>
                <w:rFonts w:cs="Calibri"/>
                <w:b/>
                <w:szCs w:val="22"/>
                <w:lang w:val="pt-PT"/>
              </w:rPr>
            </w:pPr>
            <w:r w:rsidRPr="00D76AFD">
              <w:rPr>
                <w:rFonts w:cs="Calibri"/>
                <w:b/>
                <w:szCs w:val="22"/>
                <w:lang w:val="pt-PT"/>
              </w:rPr>
              <w:t>Mafalda Gomes e Frederico Seruya</w:t>
            </w:r>
          </w:p>
          <w:p w14:paraId="2B9BF2D0" w14:textId="77777777" w:rsidR="00D76AFD" w:rsidRPr="00D76AFD" w:rsidRDefault="00E14C02" w:rsidP="00D76AFD">
            <w:pPr>
              <w:rPr>
                <w:rFonts w:cs="Calibri"/>
                <w:szCs w:val="22"/>
                <w:lang w:val="pt-PT"/>
              </w:rPr>
            </w:pPr>
            <w:hyperlink r:id="rId10" w:history="1">
              <w:r w:rsidR="00D76AFD" w:rsidRPr="00D76AFD">
                <w:rPr>
                  <w:rFonts w:cs="Calibri"/>
                  <w:color w:val="0000FF"/>
                  <w:szCs w:val="22"/>
                  <w:u w:val="single"/>
                  <w:lang w:val="pt-PT"/>
                </w:rPr>
                <w:t>mafalda.gomes@omnicomprgroup.com</w:t>
              </w:r>
            </w:hyperlink>
            <w:r w:rsidR="00D76AFD" w:rsidRPr="00D76AFD">
              <w:rPr>
                <w:rFonts w:cs="Calibri"/>
                <w:szCs w:val="22"/>
                <w:lang w:val="pt-PT"/>
              </w:rPr>
              <w:t xml:space="preserve"> | 21 313 61 07</w:t>
            </w:r>
          </w:p>
          <w:p w14:paraId="18BEE8F6" w14:textId="77777777" w:rsidR="00D76AFD" w:rsidRPr="00D76AFD" w:rsidRDefault="00E14C02" w:rsidP="00D76AFD">
            <w:pPr>
              <w:rPr>
                <w:szCs w:val="22"/>
                <w:lang w:val="pt-PT"/>
              </w:rPr>
            </w:pPr>
            <w:hyperlink r:id="rId11" w:history="1">
              <w:r w:rsidR="00D76AFD" w:rsidRPr="00D76AFD">
                <w:rPr>
                  <w:color w:val="0000FF"/>
                  <w:szCs w:val="22"/>
                  <w:u w:val="single"/>
                  <w:lang w:val="pt-PT"/>
                </w:rPr>
                <w:t>frederico.seruya@omnicomprgroup.com</w:t>
              </w:r>
            </w:hyperlink>
            <w:r w:rsidR="00D76AFD" w:rsidRPr="00D76AFD">
              <w:rPr>
                <w:szCs w:val="22"/>
                <w:lang w:val="pt-PT"/>
              </w:rPr>
              <w:t xml:space="preserve"> | 21 313 61 00</w:t>
            </w:r>
          </w:p>
          <w:p w14:paraId="6EFBDF36" w14:textId="77777777" w:rsidR="00D76AFD" w:rsidRPr="00D76AFD" w:rsidRDefault="00D76AFD" w:rsidP="00D76AFD">
            <w:pPr>
              <w:rPr>
                <w:rFonts w:cs="Calibri"/>
                <w:szCs w:val="22"/>
                <w:lang w:val="pt-PT" w:eastAsia="en-US"/>
              </w:rPr>
            </w:pPr>
          </w:p>
        </w:tc>
        <w:tc>
          <w:tcPr>
            <w:tcW w:w="3402" w:type="dxa"/>
          </w:tcPr>
          <w:p w14:paraId="4FAEFD26" w14:textId="77777777" w:rsidR="00D76AFD" w:rsidRPr="00D76AFD" w:rsidRDefault="00D76AFD" w:rsidP="00D76AFD">
            <w:pPr>
              <w:rPr>
                <w:rFonts w:cs="Calibri"/>
                <w:szCs w:val="22"/>
                <w:lang w:val="pt-PT"/>
              </w:rPr>
            </w:pPr>
          </w:p>
        </w:tc>
      </w:tr>
    </w:tbl>
    <w:p w14:paraId="34E2B8ED" w14:textId="77777777" w:rsidR="00D76AFD" w:rsidRPr="00D76AFD" w:rsidRDefault="00D76AFD" w:rsidP="00D76AFD">
      <w:pPr>
        <w:rPr>
          <w:b/>
          <w:bCs/>
          <w:szCs w:val="22"/>
          <w:lang w:eastAsia="fr-FR" w:bidi="fr-FR"/>
        </w:rPr>
      </w:pPr>
    </w:p>
    <w:p w14:paraId="78DD2B4B" w14:textId="77777777" w:rsidR="00D76AFD" w:rsidRPr="00D76AFD" w:rsidRDefault="00D76AFD" w:rsidP="00D76AFD">
      <w:pPr>
        <w:rPr>
          <w:b/>
          <w:bCs/>
          <w:szCs w:val="22"/>
          <w:lang w:eastAsia="fr-FR" w:bidi="fr-FR"/>
        </w:rPr>
      </w:pPr>
      <w:r w:rsidRPr="00D76AFD">
        <w:rPr>
          <w:b/>
          <w:bCs/>
          <w:szCs w:val="22"/>
          <w:lang w:eastAsia="fr-FR" w:bidi="fr-FR"/>
        </w:rPr>
        <w:t>Sobre a Philips Lighting</w:t>
      </w:r>
    </w:p>
    <w:p w14:paraId="57D2DC39" w14:textId="77777777" w:rsidR="00D76AFD" w:rsidRPr="00D76AFD" w:rsidRDefault="00D76AFD" w:rsidP="00D76AFD">
      <w:pPr>
        <w:rPr>
          <w:szCs w:val="22"/>
          <w:lang w:eastAsia="en-US" w:bidi="fr-FR"/>
        </w:rPr>
      </w:pPr>
    </w:p>
    <w:p w14:paraId="4F5759D6" w14:textId="77777777" w:rsidR="00D76AFD" w:rsidRPr="00D76AFD" w:rsidRDefault="00D76AFD" w:rsidP="00D76AFD">
      <w:pPr>
        <w:rPr>
          <w:rFonts w:eastAsia="Calibri"/>
          <w:b/>
          <w:szCs w:val="24"/>
          <w:lang w:eastAsia="en-US" w:bidi="fr-FR"/>
        </w:rPr>
      </w:pPr>
      <w:r w:rsidRPr="00D76AFD">
        <w:rPr>
          <w:szCs w:val="22"/>
          <w:lang w:eastAsia="fr-FR" w:bidi="fr-FR"/>
        </w:rPr>
        <w:t>A Philips Lighting (Euronext: LIGHT),</w:t>
      </w:r>
      <w:r w:rsidRPr="00D76AFD">
        <w:rPr>
          <w:szCs w:val="22"/>
        </w:rPr>
        <w:t xml:space="preserve"> líder mundial em iluminação</w:t>
      </w:r>
      <w:r w:rsidRPr="00D76AFD">
        <w:rPr>
          <w:szCs w:val="22"/>
          <w:lang w:eastAsia="fr-FR" w:bidi="fr-FR"/>
        </w:rPr>
        <w:t>, sistemas e serviços de iluminação e apresenta soluções inovações que abrem novas perspetivas de valor comercial e  proporcionam experiências enriquecedoras aos utilizadores e contribuem para melhorar a sua qualidade de vida.  Servindo os mercados profissionais e de consumo,</w:t>
      </w:r>
      <w:r w:rsidRPr="00D76AFD">
        <w:rPr>
          <w:lang w:eastAsia="fr-FR" w:bidi="fr-FR"/>
        </w:rPr>
        <w:t xml:space="preserve"> lideramos o setor potenciando a Internet das Coisas para transformar casas, edifícios e espaços urbanos. Com vendas de 7.000 milhões de euros em 2017, temos cerca de 32.000 colaboradores em mais de 70 países. </w:t>
      </w:r>
      <w:r w:rsidRPr="00D76AFD">
        <w:rPr>
          <w:rFonts w:eastAsia="Calibri"/>
          <w:lang w:eastAsia="fr-FR" w:bidi="fr-FR"/>
        </w:rPr>
        <w:t xml:space="preserve">Para mais notícias sobre a Philips Lighting aceda ao </w:t>
      </w:r>
      <w:hyperlink r:id="rId12" w:anchor="page=1" w:history="1">
        <w:r w:rsidRPr="00D76AFD">
          <w:rPr>
            <w:color w:val="0000FF"/>
            <w:u w:val="single"/>
            <w:lang w:eastAsia="de-DE"/>
          </w:rPr>
          <w:t>Newsroom</w:t>
        </w:r>
      </w:hyperlink>
      <w:r w:rsidRPr="00D76AFD">
        <w:rPr>
          <w:lang w:eastAsia="de-DE"/>
        </w:rPr>
        <w:t xml:space="preserve">, </w:t>
      </w:r>
      <w:hyperlink r:id="rId13" w:history="1">
        <w:r w:rsidRPr="00D76AFD">
          <w:rPr>
            <w:color w:val="0000FF"/>
            <w:u w:val="single"/>
            <w:lang w:eastAsia="de-DE"/>
          </w:rPr>
          <w:t>Twitter</w:t>
        </w:r>
      </w:hyperlink>
      <w:r w:rsidRPr="00D76AFD">
        <w:rPr>
          <w:lang w:eastAsia="de-DE"/>
        </w:rPr>
        <w:t xml:space="preserve"> e </w:t>
      </w:r>
      <w:hyperlink r:id="rId14" w:history="1">
        <w:r w:rsidRPr="00D76AFD">
          <w:rPr>
            <w:color w:val="0000FF"/>
            <w:u w:val="single"/>
            <w:lang w:eastAsia="de-DE"/>
          </w:rPr>
          <w:t>LinkedIn</w:t>
        </w:r>
      </w:hyperlink>
      <w:r w:rsidRPr="00D76AFD">
        <w:rPr>
          <w:lang w:eastAsia="de-DE"/>
        </w:rPr>
        <w:t xml:space="preserve">. A informação relativa a investidores pode ser encontrada na página de </w:t>
      </w:r>
      <w:hyperlink r:id="rId15" w:history="1">
        <w:r w:rsidRPr="00D76AFD">
          <w:rPr>
            <w:color w:val="0000FF"/>
            <w:u w:val="single"/>
            <w:lang w:eastAsia="de-DE"/>
          </w:rPr>
          <w:t>Investor Relations</w:t>
        </w:r>
      </w:hyperlink>
      <w:r w:rsidRPr="00D76AFD">
        <w:rPr>
          <w:lang w:eastAsia="de-DE"/>
        </w:rPr>
        <w:t>.</w:t>
      </w:r>
    </w:p>
    <w:p w14:paraId="651E4C7E" w14:textId="77777777" w:rsidR="00D76AFD" w:rsidRPr="00D76AFD" w:rsidRDefault="00D76AFD" w:rsidP="00D76AFD">
      <w:pPr>
        <w:rPr>
          <w:rFonts w:cs="Calibri"/>
          <w:b/>
          <w:lang w:eastAsia="en-US" w:bidi="fr-FR"/>
        </w:rPr>
      </w:pPr>
    </w:p>
    <w:p w14:paraId="6E0EE978" w14:textId="77777777" w:rsidR="00D76AFD" w:rsidRDefault="00D76AFD" w:rsidP="004D45B8">
      <w:bookmarkStart w:id="1" w:name="_GoBack"/>
      <w:bookmarkEnd w:id="1"/>
    </w:p>
    <w:sectPr w:rsidR="00D76AFD" w:rsidSect="004D45B8">
      <w:headerReference w:type="default" r:id="rId16"/>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AB5CE" w14:textId="77777777" w:rsidR="00E14C02" w:rsidRDefault="00E14C02" w:rsidP="00AD7F0E">
      <w:r>
        <w:separator/>
      </w:r>
    </w:p>
  </w:endnote>
  <w:endnote w:type="continuationSeparator" w:id="0">
    <w:p w14:paraId="56673D59" w14:textId="77777777" w:rsidR="00E14C02" w:rsidRDefault="00E14C02" w:rsidP="00AD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17BF4" w14:textId="77777777" w:rsidR="00E14C02" w:rsidRDefault="00E14C02" w:rsidP="00AD7F0E">
      <w:r>
        <w:separator/>
      </w:r>
    </w:p>
  </w:footnote>
  <w:footnote w:type="continuationSeparator" w:id="0">
    <w:p w14:paraId="411967FB" w14:textId="77777777" w:rsidR="00E14C02" w:rsidRDefault="00E14C02" w:rsidP="00AD7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A59D1" w14:textId="77777777" w:rsidR="00135DDF" w:rsidRDefault="00135DDF">
    <w:pPr>
      <w:pStyle w:val="Encabezado"/>
    </w:pPr>
    <w:r>
      <w:rPr>
        <w:rFonts w:cs="Calibri"/>
        <w:noProof/>
        <w:lang w:bidi="ar-SA"/>
      </w:rPr>
      <w:drawing>
        <wp:inline distT="0" distB="0" distL="0" distR="0" wp14:anchorId="6AF00896" wp14:editId="15866146">
          <wp:extent cx="4000500" cy="485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25D6"/>
    <w:multiLevelType w:val="hybridMultilevel"/>
    <w:tmpl w:val="78B6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85A8D"/>
    <w:multiLevelType w:val="hybridMultilevel"/>
    <w:tmpl w:val="2F565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5C6D72"/>
    <w:multiLevelType w:val="hybridMultilevel"/>
    <w:tmpl w:val="874619C4"/>
    <w:lvl w:ilvl="0" w:tplc="B9F8D5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859EC"/>
    <w:multiLevelType w:val="hybridMultilevel"/>
    <w:tmpl w:val="E7C8ABE8"/>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4" w15:restartNumberingAfterBreak="0">
    <w:nsid w:val="1FDA3006"/>
    <w:multiLevelType w:val="hybridMultilevel"/>
    <w:tmpl w:val="3B68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A50B9"/>
    <w:multiLevelType w:val="hybridMultilevel"/>
    <w:tmpl w:val="BB8C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D3AB2"/>
    <w:multiLevelType w:val="hybridMultilevel"/>
    <w:tmpl w:val="086A26B2"/>
    <w:lvl w:ilvl="0" w:tplc="CDD628EC">
      <w:start w:val="1"/>
      <w:numFmt w:val="bullet"/>
      <w:lvlText w:val="•"/>
      <w:lvlJc w:val="left"/>
      <w:pPr>
        <w:tabs>
          <w:tab w:val="num" w:pos="720"/>
        </w:tabs>
        <w:ind w:left="720" w:hanging="360"/>
      </w:pPr>
      <w:rPr>
        <w:rFonts w:ascii="Arial" w:hAnsi="Arial" w:cs="Times New Roman" w:hint="default"/>
      </w:rPr>
    </w:lvl>
    <w:lvl w:ilvl="1" w:tplc="4952652A">
      <w:start w:val="1"/>
      <w:numFmt w:val="bullet"/>
      <w:lvlText w:val="•"/>
      <w:lvlJc w:val="left"/>
      <w:pPr>
        <w:tabs>
          <w:tab w:val="num" w:pos="1440"/>
        </w:tabs>
        <w:ind w:left="1440" w:hanging="360"/>
      </w:pPr>
      <w:rPr>
        <w:rFonts w:ascii="Arial" w:hAnsi="Arial" w:cs="Times New Roman" w:hint="default"/>
      </w:rPr>
    </w:lvl>
    <w:lvl w:ilvl="2" w:tplc="8E98F11C">
      <w:start w:val="1"/>
      <w:numFmt w:val="bullet"/>
      <w:lvlText w:val="•"/>
      <w:lvlJc w:val="left"/>
      <w:pPr>
        <w:tabs>
          <w:tab w:val="num" w:pos="2160"/>
        </w:tabs>
        <w:ind w:left="2160" w:hanging="360"/>
      </w:pPr>
      <w:rPr>
        <w:rFonts w:ascii="Arial" w:hAnsi="Arial" w:cs="Times New Roman" w:hint="default"/>
      </w:rPr>
    </w:lvl>
    <w:lvl w:ilvl="3" w:tplc="740691CE">
      <w:start w:val="1"/>
      <w:numFmt w:val="bullet"/>
      <w:lvlText w:val="•"/>
      <w:lvlJc w:val="left"/>
      <w:pPr>
        <w:tabs>
          <w:tab w:val="num" w:pos="2880"/>
        </w:tabs>
        <w:ind w:left="2880" w:hanging="360"/>
      </w:pPr>
      <w:rPr>
        <w:rFonts w:ascii="Arial" w:hAnsi="Arial" w:cs="Times New Roman" w:hint="default"/>
      </w:rPr>
    </w:lvl>
    <w:lvl w:ilvl="4" w:tplc="2064E3D6">
      <w:start w:val="1"/>
      <w:numFmt w:val="bullet"/>
      <w:lvlText w:val="•"/>
      <w:lvlJc w:val="left"/>
      <w:pPr>
        <w:tabs>
          <w:tab w:val="num" w:pos="3600"/>
        </w:tabs>
        <w:ind w:left="3600" w:hanging="360"/>
      </w:pPr>
      <w:rPr>
        <w:rFonts w:ascii="Arial" w:hAnsi="Arial" w:cs="Times New Roman" w:hint="default"/>
      </w:rPr>
    </w:lvl>
    <w:lvl w:ilvl="5" w:tplc="1062DCE6">
      <w:start w:val="1"/>
      <w:numFmt w:val="bullet"/>
      <w:lvlText w:val="•"/>
      <w:lvlJc w:val="left"/>
      <w:pPr>
        <w:tabs>
          <w:tab w:val="num" w:pos="4320"/>
        </w:tabs>
        <w:ind w:left="4320" w:hanging="360"/>
      </w:pPr>
      <w:rPr>
        <w:rFonts w:ascii="Arial" w:hAnsi="Arial" w:cs="Times New Roman" w:hint="default"/>
      </w:rPr>
    </w:lvl>
    <w:lvl w:ilvl="6" w:tplc="0484B65C">
      <w:start w:val="1"/>
      <w:numFmt w:val="bullet"/>
      <w:lvlText w:val="•"/>
      <w:lvlJc w:val="left"/>
      <w:pPr>
        <w:tabs>
          <w:tab w:val="num" w:pos="5040"/>
        </w:tabs>
        <w:ind w:left="5040" w:hanging="360"/>
      </w:pPr>
      <w:rPr>
        <w:rFonts w:ascii="Arial" w:hAnsi="Arial" w:cs="Times New Roman" w:hint="default"/>
      </w:rPr>
    </w:lvl>
    <w:lvl w:ilvl="7" w:tplc="93801E98">
      <w:start w:val="1"/>
      <w:numFmt w:val="bullet"/>
      <w:lvlText w:val="•"/>
      <w:lvlJc w:val="left"/>
      <w:pPr>
        <w:tabs>
          <w:tab w:val="num" w:pos="5760"/>
        </w:tabs>
        <w:ind w:left="5760" w:hanging="360"/>
      </w:pPr>
      <w:rPr>
        <w:rFonts w:ascii="Arial" w:hAnsi="Arial" w:cs="Times New Roman" w:hint="default"/>
      </w:rPr>
    </w:lvl>
    <w:lvl w:ilvl="8" w:tplc="19706234">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44D85294"/>
    <w:multiLevelType w:val="hybridMultilevel"/>
    <w:tmpl w:val="64769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DA1858"/>
    <w:multiLevelType w:val="hybridMultilevel"/>
    <w:tmpl w:val="C7F0D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021D5B"/>
    <w:multiLevelType w:val="hybridMultilevel"/>
    <w:tmpl w:val="18B0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D6AC8"/>
    <w:multiLevelType w:val="hybridMultilevel"/>
    <w:tmpl w:val="70B4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23005"/>
    <w:multiLevelType w:val="hybridMultilevel"/>
    <w:tmpl w:val="F314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E1607"/>
    <w:multiLevelType w:val="hybridMultilevel"/>
    <w:tmpl w:val="9A52AD6E"/>
    <w:lvl w:ilvl="0" w:tplc="F7C03BC2">
      <w:start w:val="1"/>
      <w:numFmt w:val="bullet"/>
      <w:lvlText w:val="•"/>
      <w:lvlJc w:val="left"/>
      <w:pPr>
        <w:tabs>
          <w:tab w:val="num" w:pos="720"/>
        </w:tabs>
        <w:ind w:left="720" w:hanging="360"/>
      </w:pPr>
      <w:rPr>
        <w:rFonts w:ascii="Arial" w:hAnsi="Arial" w:cs="Times New Roman" w:hint="default"/>
      </w:rPr>
    </w:lvl>
    <w:lvl w:ilvl="1" w:tplc="0A245044">
      <w:start w:val="1"/>
      <w:numFmt w:val="bullet"/>
      <w:lvlText w:val="•"/>
      <w:lvlJc w:val="left"/>
      <w:pPr>
        <w:tabs>
          <w:tab w:val="num" w:pos="1440"/>
        </w:tabs>
        <w:ind w:left="1440" w:hanging="360"/>
      </w:pPr>
      <w:rPr>
        <w:rFonts w:ascii="Arial" w:hAnsi="Arial" w:cs="Times New Roman" w:hint="default"/>
      </w:rPr>
    </w:lvl>
    <w:lvl w:ilvl="2" w:tplc="B928C0FA">
      <w:start w:val="1"/>
      <w:numFmt w:val="bullet"/>
      <w:lvlText w:val="•"/>
      <w:lvlJc w:val="left"/>
      <w:pPr>
        <w:tabs>
          <w:tab w:val="num" w:pos="2160"/>
        </w:tabs>
        <w:ind w:left="2160" w:hanging="360"/>
      </w:pPr>
      <w:rPr>
        <w:rFonts w:ascii="Arial" w:hAnsi="Arial" w:cs="Times New Roman" w:hint="default"/>
      </w:rPr>
    </w:lvl>
    <w:lvl w:ilvl="3" w:tplc="E180A6E8">
      <w:start w:val="1"/>
      <w:numFmt w:val="bullet"/>
      <w:lvlText w:val="•"/>
      <w:lvlJc w:val="left"/>
      <w:pPr>
        <w:tabs>
          <w:tab w:val="num" w:pos="2880"/>
        </w:tabs>
        <w:ind w:left="2880" w:hanging="360"/>
      </w:pPr>
      <w:rPr>
        <w:rFonts w:ascii="Arial" w:hAnsi="Arial" w:cs="Times New Roman" w:hint="default"/>
      </w:rPr>
    </w:lvl>
    <w:lvl w:ilvl="4" w:tplc="86ACDEAE">
      <w:start w:val="1"/>
      <w:numFmt w:val="bullet"/>
      <w:lvlText w:val="•"/>
      <w:lvlJc w:val="left"/>
      <w:pPr>
        <w:tabs>
          <w:tab w:val="num" w:pos="3600"/>
        </w:tabs>
        <w:ind w:left="3600" w:hanging="360"/>
      </w:pPr>
      <w:rPr>
        <w:rFonts w:ascii="Arial" w:hAnsi="Arial" w:cs="Times New Roman" w:hint="default"/>
      </w:rPr>
    </w:lvl>
    <w:lvl w:ilvl="5" w:tplc="4230830A">
      <w:start w:val="1"/>
      <w:numFmt w:val="bullet"/>
      <w:lvlText w:val="•"/>
      <w:lvlJc w:val="left"/>
      <w:pPr>
        <w:tabs>
          <w:tab w:val="num" w:pos="4320"/>
        </w:tabs>
        <w:ind w:left="4320" w:hanging="360"/>
      </w:pPr>
      <w:rPr>
        <w:rFonts w:ascii="Arial" w:hAnsi="Arial" w:cs="Times New Roman" w:hint="default"/>
      </w:rPr>
    </w:lvl>
    <w:lvl w:ilvl="6" w:tplc="ACB675B6">
      <w:start w:val="1"/>
      <w:numFmt w:val="bullet"/>
      <w:lvlText w:val="•"/>
      <w:lvlJc w:val="left"/>
      <w:pPr>
        <w:tabs>
          <w:tab w:val="num" w:pos="5040"/>
        </w:tabs>
        <w:ind w:left="5040" w:hanging="360"/>
      </w:pPr>
      <w:rPr>
        <w:rFonts w:ascii="Arial" w:hAnsi="Arial" w:cs="Times New Roman" w:hint="default"/>
      </w:rPr>
    </w:lvl>
    <w:lvl w:ilvl="7" w:tplc="3B8A7D48">
      <w:start w:val="1"/>
      <w:numFmt w:val="bullet"/>
      <w:lvlText w:val="•"/>
      <w:lvlJc w:val="left"/>
      <w:pPr>
        <w:tabs>
          <w:tab w:val="num" w:pos="5760"/>
        </w:tabs>
        <w:ind w:left="5760" w:hanging="360"/>
      </w:pPr>
      <w:rPr>
        <w:rFonts w:ascii="Arial" w:hAnsi="Arial" w:cs="Times New Roman" w:hint="default"/>
      </w:rPr>
    </w:lvl>
    <w:lvl w:ilvl="8" w:tplc="B810D65A">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663710D6"/>
    <w:multiLevelType w:val="hybridMultilevel"/>
    <w:tmpl w:val="34D06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DB33C1"/>
    <w:multiLevelType w:val="hybridMultilevel"/>
    <w:tmpl w:val="5F747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E591B54"/>
    <w:multiLevelType w:val="hybridMultilevel"/>
    <w:tmpl w:val="286E8C00"/>
    <w:lvl w:ilvl="0" w:tplc="4CA6D388">
      <w:start w:val="1"/>
      <w:numFmt w:val="bullet"/>
      <w:lvlText w:val="•"/>
      <w:lvlJc w:val="left"/>
      <w:pPr>
        <w:tabs>
          <w:tab w:val="num" w:pos="720"/>
        </w:tabs>
        <w:ind w:left="720" w:hanging="360"/>
      </w:pPr>
      <w:rPr>
        <w:rFonts w:ascii="Arial" w:hAnsi="Arial" w:cs="Times New Roman" w:hint="default"/>
      </w:rPr>
    </w:lvl>
    <w:lvl w:ilvl="1" w:tplc="C56C6814">
      <w:start w:val="1"/>
      <w:numFmt w:val="bullet"/>
      <w:lvlText w:val="•"/>
      <w:lvlJc w:val="left"/>
      <w:pPr>
        <w:tabs>
          <w:tab w:val="num" w:pos="1440"/>
        </w:tabs>
        <w:ind w:left="1440" w:hanging="360"/>
      </w:pPr>
      <w:rPr>
        <w:rFonts w:ascii="Arial" w:hAnsi="Arial" w:cs="Times New Roman" w:hint="default"/>
      </w:rPr>
    </w:lvl>
    <w:lvl w:ilvl="2" w:tplc="5110494C">
      <w:start w:val="1"/>
      <w:numFmt w:val="bullet"/>
      <w:lvlText w:val="•"/>
      <w:lvlJc w:val="left"/>
      <w:pPr>
        <w:tabs>
          <w:tab w:val="num" w:pos="2160"/>
        </w:tabs>
        <w:ind w:left="2160" w:hanging="360"/>
      </w:pPr>
      <w:rPr>
        <w:rFonts w:ascii="Arial" w:hAnsi="Arial" w:cs="Times New Roman" w:hint="default"/>
      </w:rPr>
    </w:lvl>
    <w:lvl w:ilvl="3" w:tplc="4AF4C0EA">
      <w:start w:val="1"/>
      <w:numFmt w:val="bullet"/>
      <w:lvlText w:val="•"/>
      <w:lvlJc w:val="left"/>
      <w:pPr>
        <w:tabs>
          <w:tab w:val="num" w:pos="2880"/>
        </w:tabs>
        <w:ind w:left="2880" w:hanging="360"/>
      </w:pPr>
      <w:rPr>
        <w:rFonts w:ascii="Arial" w:hAnsi="Arial" w:cs="Times New Roman" w:hint="default"/>
      </w:rPr>
    </w:lvl>
    <w:lvl w:ilvl="4" w:tplc="7AC2F350">
      <w:start w:val="1"/>
      <w:numFmt w:val="bullet"/>
      <w:lvlText w:val="•"/>
      <w:lvlJc w:val="left"/>
      <w:pPr>
        <w:tabs>
          <w:tab w:val="num" w:pos="3600"/>
        </w:tabs>
        <w:ind w:left="3600" w:hanging="360"/>
      </w:pPr>
      <w:rPr>
        <w:rFonts w:ascii="Arial" w:hAnsi="Arial" w:cs="Times New Roman" w:hint="default"/>
      </w:rPr>
    </w:lvl>
    <w:lvl w:ilvl="5" w:tplc="D6D44316">
      <w:start w:val="1"/>
      <w:numFmt w:val="bullet"/>
      <w:lvlText w:val="•"/>
      <w:lvlJc w:val="left"/>
      <w:pPr>
        <w:tabs>
          <w:tab w:val="num" w:pos="4320"/>
        </w:tabs>
        <w:ind w:left="4320" w:hanging="360"/>
      </w:pPr>
      <w:rPr>
        <w:rFonts w:ascii="Arial" w:hAnsi="Arial" w:cs="Times New Roman" w:hint="default"/>
      </w:rPr>
    </w:lvl>
    <w:lvl w:ilvl="6" w:tplc="11044B68">
      <w:start w:val="1"/>
      <w:numFmt w:val="bullet"/>
      <w:lvlText w:val="•"/>
      <w:lvlJc w:val="left"/>
      <w:pPr>
        <w:tabs>
          <w:tab w:val="num" w:pos="5040"/>
        </w:tabs>
        <w:ind w:left="5040" w:hanging="360"/>
      </w:pPr>
      <w:rPr>
        <w:rFonts w:ascii="Arial" w:hAnsi="Arial" w:cs="Times New Roman" w:hint="default"/>
      </w:rPr>
    </w:lvl>
    <w:lvl w:ilvl="7" w:tplc="2AB0EF2C">
      <w:start w:val="1"/>
      <w:numFmt w:val="bullet"/>
      <w:lvlText w:val="•"/>
      <w:lvlJc w:val="left"/>
      <w:pPr>
        <w:tabs>
          <w:tab w:val="num" w:pos="5760"/>
        </w:tabs>
        <w:ind w:left="5760" w:hanging="360"/>
      </w:pPr>
      <w:rPr>
        <w:rFonts w:ascii="Arial" w:hAnsi="Arial" w:cs="Times New Roman" w:hint="default"/>
      </w:rPr>
    </w:lvl>
    <w:lvl w:ilvl="8" w:tplc="192E721A">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70A23B9B"/>
    <w:multiLevelType w:val="hybridMultilevel"/>
    <w:tmpl w:val="F2DE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5A4F93"/>
    <w:multiLevelType w:val="hybridMultilevel"/>
    <w:tmpl w:val="E4F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3"/>
  </w:num>
  <w:num w:numId="4">
    <w:abstractNumId w:val="1"/>
  </w:num>
  <w:num w:numId="5">
    <w:abstractNumId w:val="15"/>
  </w:num>
  <w:num w:numId="6">
    <w:abstractNumId w:val="8"/>
  </w:num>
  <w:num w:numId="7">
    <w:abstractNumId w:val="5"/>
  </w:num>
  <w:num w:numId="8">
    <w:abstractNumId w:val="0"/>
  </w:num>
  <w:num w:numId="9">
    <w:abstractNumId w:val="11"/>
  </w:num>
  <w:num w:numId="10">
    <w:abstractNumId w:val="17"/>
  </w:num>
  <w:num w:numId="11">
    <w:abstractNumId w:val="9"/>
  </w:num>
  <w:num w:numId="12">
    <w:abstractNumId w:val="16"/>
  </w:num>
  <w:num w:numId="13">
    <w:abstractNumId w:val="4"/>
  </w:num>
  <w:num w:numId="14">
    <w:abstractNumId w:val="6"/>
  </w:num>
  <w:num w:numId="15">
    <w:abstractNumId w:val="1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F0E"/>
    <w:rsid w:val="00000EE5"/>
    <w:rsid w:val="000017AE"/>
    <w:rsid w:val="00003302"/>
    <w:rsid w:val="00011DC9"/>
    <w:rsid w:val="00020882"/>
    <w:rsid w:val="00020EA4"/>
    <w:rsid w:val="00037B99"/>
    <w:rsid w:val="00042967"/>
    <w:rsid w:val="00043933"/>
    <w:rsid w:val="00044B29"/>
    <w:rsid w:val="00052AF2"/>
    <w:rsid w:val="0005381F"/>
    <w:rsid w:val="000548AE"/>
    <w:rsid w:val="00077AF9"/>
    <w:rsid w:val="00080843"/>
    <w:rsid w:val="000820C9"/>
    <w:rsid w:val="000850BB"/>
    <w:rsid w:val="0008741C"/>
    <w:rsid w:val="000B02B0"/>
    <w:rsid w:val="000B5C5D"/>
    <w:rsid w:val="000C5BFE"/>
    <w:rsid w:val="000D0BC1"/>
    <w:rsid w:val="000D3252"/>
    <w:rsid w:val="000D6FC6"/>
    <w:rsid w:val="000E0B31"/>
    <w:rsid w:val="000F3252"/>
    <w:rsid w:val="000F5773"/>
    <w:rsid w:val="00110B8D"/>
    <w:rsid w:val="0011211D"/>
    <w:rsid w:val="00114D21"/>
    <w:rsid w:val="001308F8"/>
    <w:rsid w:val="001325E3"/>
    <w:rsid w:val="00135DDF"/>
    <w:rsid w:val="00147535"/>
    <w:rsid w:val="00152E11"/>
    <w:rsid w:val="001534D7"/>
    <w:rsid w:val="00155973"/>
    <w:rsid w:val="00162897"/>
    <w:rsid w:val="00166B58"/>
    <w:rsid w:val="00172DF6"/>
    <w:rsid w:val="00173ABA"/>
    <w:rsid w:val="00174E82"/>
    <w:rsid w:val="00190C77"/>
    <w:rsid w:val="00191D6E"/>
    <w:rsid w:val="00192210"/>
    <w:rsid w:val="0019410D"/>
    <w:rsid w:val="001B721C"/>
    <w:rsid w:val="001C7BE9"/>
    <w:rsid w:val="001D1176"/>
    <w:rsid w:val="001D3A82"/>
    <w:rsid w:val="001E6C3A"/>
    <w:rsid w:val="001F2A4B"/>
    <w:rsid w:val="001F394E"/>
    <w:rsid w:val="00252324"/>
    <w:rsid w:val="00254AE9"/>
    <w:rsid w:val="00260563"/>
    <w:rsid w:val="00260B1C"/>
    <w:rsid w:val="002636A8"/>
    <w:rsid w:val="00264145"/>
    <w:rsid w:val="00276B4B"/>
    <w:rsid w:val="002874ED"/>
    <w:rsid w:val="002A2F1E"/>
    <w:rsid w:val="002B1932"/>
    <w:rsid w:val="002C042A"/>
    <w:rsid w:val="002D0331"/>
    <w:rsid w:val="002D26AE"/>
    <w:rsid w:val="002E6B9E"/>
    <w:rsid w:val="002F0870"/>
    <w:rsid w:val="00310515"/>
    <w:rsid w:val="00311598"/>
    <w:rsid w:val="00312AC2"/>
    <w:rsid w:val="0032073F"/>
    <w:rsid w:val="003440F7"/>
    <w:rsid w:val="003517AB"/>
    <w:rsid w:val="003563F1"/>
    <w:rsid w:val="00374802"/>
    <w:rsid w:val="00381AE4"/>
    <w:rsid w:val="00384150"/>
    <w:rsid w:val="0038425A"/>
    <w:rsid w:val="00385D03"/>
    <w:rsid w:val="00390014"/>
    <w:rsid w:val="003B3CD2"/>
    <w:rsid w:val="003B594B"/>
    <w:rsid w:val="003C559F"/>
    <w:rsid w:val="003D1D1D"/>
    <w:rsid w:val="003D2532"/>
    <w:rsid w:val="003D60C4"/>
    <w:rsid w:val="003E11B3"/>
    <w:rsid w:val="003E40BB"/>
    <w:rsid w:val="003E5142"/>
    <w:rsid w:val="003E6ED8"/>
    <w:rsid w:val="003F29BD"/>
    <w:rsid w:val="003F2E72"/>
    <w:rsid w:val="003F6CC5"/>
    <w:rsid w:val="00407246"/>
    <w:rsid w:val="0041102E"/>
    <w:rsid w:val="00411CCB"/>
    <w:rsid w:val="004166F6"/>
    <w:rsid w:val="00425709"/>
    <w:rsid w:val="00426367"/>
    <w:rsid w:val="00443314"/>
    <w:rsid w:val="00444D8D"/>
    <w:rsid w:val="00451249"/>
    <w:rsid w:val="0045557C"/>
    <w:rsid w:val="004614D1"/>
    <w:rsid w:val="0047124D"/>
    <w:rsid w:val="00477F3F"/>
    <w:rsid w:val="004874B7"/>
    <w:rsid w:val="00487B5E"/>
    <w:rsid w:val="00496B31"/>
    <w:rsid w:val="004A3377"/>
    <w:rsid w:val="004C6D34"/>
    <w:rsid w:val="004D45B8"/>
    <w:rsid w:val="004D4F3D"/>
    <w:rsid w:val="004D5995"/>
    <w:rsid w:val="004E1115"/>
    <w:rsid w:val="004F1A02"/>
    <w:rsid w:val="005011AF"/>
    <w:rsid w:val="005038B2"/>
    <w:rsid w:val="00510283"/>
    <w:rsid w:val="00517157"/>
    <w:rsid w:val="00520D40"/>
    <w:rsid w:val="00551E20"/>
    <w:rsid w:val="00557D60"/>
    <w:rsid w:val="005634B6"/>
    <w:rsid w:val="00564ABC"/>
    <w:rsid w:val="00584A4E"/>
    <w:rsid w:val="00593B55"/>
    <w:rsid w:val="00597606"/>
    <w:rsid w:val="00597E8B"/>
    <w:rsid w:val="005A4C29"/>
    <w:rsid w:val="005B2242"/>
    <w:rsid w:val="005B7CB9"/>
    <w:rsid w:val="005C4954"/>
    <w:rsid w:val="005C6EEC"/>
    <w:rsid w:val="005D0A9A"/>
    <w:rsid w:val="005D4BC3"/>
    <w:rsid w:val="005D54D7"/>
    <w:rsid w:val="005E250B"/>
    <w:rsid w:val="005E7876"/>
    <w:rsid w:val="005F1748"/>
    <w:rsid w:val="005F7B18"/>
    <w:rsid w:val="00600618"/>
    <w:rsid w:val="006052E3"/>
    <w:rsid w:val="00611BB5"/>
    <w:rsid w:val="006263F0"/>
    <w:rsid w:val="00635B8B"/>
    <w:rsid w:val="0064042D"/>
    <w:rsid w:val="00642630"/>
    <w:rsid w:val="00643CFB"/>
    <w:rsid w:val="00653FCA"/>
    <w:rsid w:val="00661779"/>
    <w:rsid w:val="006624B5"/>
    <w:rsid w:val="00666920"/>
    <w:rsid w:val="006678D9"/>
    <w:rsid w:val="006744F7"/>
    <w:rsid w:val="00686C6F"/>
    <w:rsid w:val="006A6864"/>
    <w:rsid w:val="006A6DAB"/>
    <w:rsid w:val="006C1B58"/>
    <w:rsid w:val="006C20FC"/>
    <w:rsid w:val="006C3C62"/>
    <w:rsid w:val="006C78EF"/>
    <w:rsid w:val="006D619F"/>
    <w:rsid w:val="006F1281"/>
    <w:rsid w:val="006F1849"/>
    <w:rsid w:val="006F683C"/>
    <w:rsid w:val="0070552D"/>
    <w:rsid w:val="00722A58"/>
    <w:rsid w:val="00726BEF"/>
    <w:rsid w:val="00731D0A"/>
    <w:rsid w:val="00735EED"/>
    <w:rsid w:val="007360E0"/>
    <w:rsid w:val="00743710"/>
    <w:rsid w:val="00743BA1"/>
    <w:rsid w:val="00745DF5"/>
    <w:rsid w:val="00756D77"/>
    <w:rsid w:val="00760DCB"/>
    <w:rsid w:val="00775919"/>
    <w:rsid w:val="00780E76"/>
    <w:rsid w:val="007849F7"/>
    <w:rsid w:val="00797C0A"/>
    <w:rsid w:val="007A571B"/>
    <w:rsid w:val="007A75E9"/>
    <w:rsid w:val="007C6184"/>
    <w:rsid w:val="007C624C"/>
    <w:rsid w:val="007E45B1"/>
    <w:rsid w:val="007E7668"/>
    <w:rsid w:val="0080013C"/>
    <w:rsid w:val="008047AD"/>
    <w:rsid w:val="00806D93"/>
    <w:rsid w:val="008118EF"/>
    <w:rsid w:val="0081199F"/>
    <w:rsid w:val="00813B82"/>
    <w:rsid w:val="008157E6"/>
    <w:rsid w:val="00822437"/>
    <w:rsid w:val="008229F7"/>
    <w:rsid w:val="00836F45"/>
    <w:rsid w:val="008400EB"/>
    <w:rsid w:val="008415E0"/>
    <w:rsid w:val="0084388D"/>
    <w:rsid w:val="00854186"/>
    <w:rsid w:val="008623AF"/>
    <w:rsid w:val="00864F27"/>
    <w:rsid w:val="00866E62"/>
    <w:rsid w:val="00872AE9"/>
    <w:rsid w:val="00872C6F"/>
    <w:rsid w:val="00891AC8"/>
    <w:rsid w:val="008933BD"/>
    <w:rsid w:val="008945C9"/>
    <w:rsid w:val="00897031"/>
    <w:rsid w:val="008C2D5B"/>
    <w:rsid w:val="008C6682"/>
    <w:rsid w:val="008E11FF"/>
    <w:rsid w:val="008E51C2"/>
    <w:rsid w:val="008F16ED"/>
    <w:rsid w:val="008F43B3"/>
    <w:rsid w:val="008F4E87"/>
    <w:rsid w:val="008F6155"/>
    <w:rsid w:val="009225BB"/>
    <w:rsid w:val="00923E75"/>
    <w:rsid w:val="00930493"/>
    <w:rsid w:val="0095403F"/>
    <w:rsid w:val="009559B6"/>
    <w:rsid w:val="00965165"/>
    <w:rsid w:val="00966911"/>
    <w:rsid w:val="00971ACE"/>
    <w:rsid w:val="00974B37"/>
    <w:rsid w:val="00977A04"/>
    <w:rsid w:val="0098431D"/>
    <w:rsid w:val="00984EEB"/>
    <w:rsid w:val="009859F5"/>
    <w:rsid w:val="00986E4C"/>
    <w:rsid w:val="00991202"/>
    <w:rsid w:val="00996B0F"/>
    <w:rsid w:val="00996F06"/>
    <w:rsid w:val="009B4195"/>
    <w:rsid w:val="009D096F"/>
    <w:rsid w:val="009E50D8"/>
    <w:rsid w:val="00A118EE"/>
    <w:rsid w:val="00A147C9"/>
    <w:rsid w:val="00A2018D"/>
    <w:rsid w:val="00A237C6"/>
    <w:rsid w:val="00A24FAF"/>
    <w:rsid w:val="00A25D8D"/>
    <w:rsid w:val="00A27822"/>
    <w:rsid w:val="00A2786B"/>
    <w:rsid w:val="00A46C56"/>
    <w:rsid w:val="00A51C20"/>
    <w:rsid w:val="00A54309"/>
    <w:rsid w:val="00A54F67"/>
    <w:rsid w:val="00A87948"/>
    <w:rsid w:val="00A92B47"/>
    <w:rsid w:val="00AA0EDC"/>
    <w:rsid w:val="00AA55BF"/>
    <w:rsid w:val="00AB187C"/>
    <w:rsid w:val="00AD7F0E"/>
    <w:rsid w:val="00AE0403"/>
    <w:rsid w:val="00AF08BD"/>
    <w:rsid w:val="00AF1AA7"/>
    <w:rsid w:val="00AF29E0"/>
    <w:rsid w:val="00AF3176"/>
    <w:rsid w:val="00AF3CF4"/>
    <w:rsid w:val="00B022FA"/>
    <w:rsid w:val="00B06BF7"/>
    <w:rsid w:val="00B13341"/>
    <w:rsid w:val="00B137A3"/>
    <w:rsid w:val="00B14DE4"/>
    <w:rsid w:val="00B1673A"/>
    <w:rsid w:val="00B406D7"/>
    <w:rsid w:val="00B417CC"/>
    <w:rsid w:val="00B42CFE"/>
    <w:rsid w:val="00B55821"/>
    <w:rsid w:val="00B6612B"/>
    <w:rsid w:val="00B721AC"/>
    <w:rsid w:val="00B80B67"/>
    <w:rsid w:val="00B85B6A"/>
    <w:rsid w:val="00B921AE"/>
    <w:rsid w:val="00B92FED"/>
    <w:rsid w:val="00BA3781"/>
    <w:rsid w:val="00BB6A4C"/>
    <w:rsid w:val="00BC13CE"/>
    <w:rsid w:val="00BC3976"/>
    <w:rsid w:val="00BC4BEC"/>
    <w:rsid w:val="00BD1421"/>
    <w:rsid w:val="00BE6AB7"/>
    <w:rsid w:val="00BF2A23"/>
    <w:rsid w:val="00BF69F1"/>
    <w:rsid w:val="00C00930"/>
    <w:rsid w:val="00C03D17"/>
    <w:rsid w:val="00C110D4"/>
    <w:rsid w:val="00C1403A"/>
    <w:rsid w:val="00C1647D"/>
    <w:rsid w:val="00C20EC9"/>
    <w:rsid w:val="00C21F37"/>
    <w:rsid w:val="00C40154"/>
    <w:rsid w:val="00C4347E"/>
    <w:rsid w:val="00C44136"/>
    <w:rsid w:val="00C46FC3"/>
    <w:rsid w:val="00C47505"/>
    <w:rsid w:val="00C621B7"/>
    <w:rsid w:val="00C63B8A"/>
    <w:rsid w:val="00C64D7F"/>
    <w:rsid w:val="00C65231"/>
    <w:rsid w:val="00C6581B"/>
    <w:rsid w:val="00C85851"/>
    <w:rsid w:val="00CA7318"/>
    <w:rsid w:val="00CA78E8"/>
    <w:rsid w:val="00CA7CE9"/>
    <w:rsid w:val="00CA7F1A"/>
    <w:rsid w:val="00CB1160"/>
    <w:rsid w:val="00CB258F"/>
    <w:rsid w:val="00CB44C9"/>
    <w:rsid w:val="00CB6609"/>
    <w:rsid w:val="00CC3235"/>
    <w:rsid w:val="00CC5100"/>
    <w:rsid w:val="00CC7F19"/>
    <w:rsid w:val="00CD033F"/>
    <w:rsid w:val="00CD4EE6"/>
    <w:rsid w:val="00CD6B33"/>
    <w:rsid w:val="00CE0BF4"/>
    <w:rsid w:val="00CE2DC3"/>
    <w:rsid w:val="00CF051D"/>
    <w:rsid w:val="00CF4B8C"/>
    <w:rsid w:val="00D07729"/>
    <w:rsid w:val="00D102D2"/>
    <w:rsid w:val="00D12DCA"/>
    <w:rsid w:val="00D15D66"/>
    <w:rsid w:val="00D20F6F"/>
    <w:rsid w:val="00D2565A"/>
    <w:rsid w:val="00D2569A"/>
    <w:rsid w:val="00D4246F"/>
    <w:rsid w:val="00D438F1"/>
    <w:rsid w:val="00D51EBD"/>
    <w:rsid w:val="00D655F8"/>
    <w:rsid w:val="00D70F78"/>
    <w:rsid w:val="00D753E5"/>
    <w:rsid w:val="00D76AFD"/>
    <w:rsid w:val="00D77E5D"/>
    <w:rsid w:val="00D85901"/>
    <w:rsid w:val="00DA4D83"/>
    <w:rsid w:val="00DB0543"/>
    <w:rsid w:val="00DB6D88"/>
    <w:rsid w:val="00DC787D"/>
    <w:rsid w:val="00DD6B71"/>
    <w:rsid w:val="00DE1942"/>
    <w:rsid w:val="00DE431E"/>
    <w:rsid w:val="00DE4FA1"/>
    <w:rsid w:val="00DF4E1B"/>
    <w:rsid w:val="00E148A4"/>
    <w:rsid w:val="00E14C02"/>
    <w:rsid w:val="00E22E73"/>
    <w:rsid w:val="00E24135"/>
    <w:rsid w:val="00E263CA"/>
    <w:rsid w:val="00E3123B"/>
    <w:rsid w:val="00E356C6"/>
    <w:rsid w:val="00E5234D"/>
    <w:rsid w:val="00E52E54"/>
    <w:rsid w:val="00E54BA1"/>
    <w:rsid w:val="00E717F7"/>
    <w:rsid w:val="00E8297B"/>
    <w:rsid w:val="00E82A3F"/>
    <w:rsid w:val="00E82FB6"/>
    <w:rsid w:val="00EA6268"/>
    <w:rsid w:val="00EB542F"/>
    <w:rsid w:val="00EB5F22"/>
    <w:rsid w:val="00EC02DE"/>
    <w:rsid w:val="00EC5791"/>
    <w:rsid w:val="00EC7AF0"/>
    <w:rsid w:val="00ED172E"/>
    <w:rsid w:val="00ED3729"/>
    <w:rsid w:val="00ED4484"/>
    <w:rsid w:val="00ED5904"/>
    <w:rsid w:val="00EE609C"/>
    <w:rsid w:val="00EF695B"/>
    <w:rsid w:val="00F05632"/>
    <w:rsid w:val="00F22753"/>
    <w:rsid w:val="00F268FD"/>
    <w:rsid w:val="00F331F2"/>
    <w:rsid w:val="00F36253"/>
    <w:rsid w:val="00F42FDA"/>
    <w:rsid w:val="00F53644"/>
    <w:rsid w:val="00F607EE"/>
    <w:rsid w:val="00F71D06"/>
    <w:rsid w:val="00F801E7"/>
    <w:rsid w:val="00F81742"/>
    <w:rsid w:val="00F85B8B"/>
    <w:rsid w:val="00F85EFE"/>
    <w:rsid w:val="00F92A0F"/>
    <w:rsid w:val="00F94419"/>
    <w:rsid w:val="00FA142B"/>
    <w:rsid w:val="00FA268D"/>
    <w:rsid w:val="00FA53D5"/>
    <w:rsid w:val="00FA7804"/>
    <w:rsid w:val="00FB3580"/>
    <w:rsid w:val="00FB59F7"/>
    <w:rsid w:val="00FC6831"/>
    <w:rsid w:val="00FC71E3"/>
    <w:rsid w:val="00FD6224"/>
    <w:rsid w:val="00FD7C57"/>
    <w:rsid w:val="00FE6329"/>
    <w:rsid w:val="00FE7381"/>
    <w:rsid w:val="00FF238B"/>
    <w:rsid w:val="00FF4CA0"/>
    <w:rsid w:val="00FF6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FB8B"/>
  <w15:docId w15:val="{E5ED6CF6-924C-4AE8-A1B2-FEE93DBD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pt-PT" w:bidi="pt-P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F0E"/>
    <w:pPr>
      <w:spacing w:after="0" w:line="240" w:lineRule="auto"/>
    </w:pPr>
    <w:rPr>
      <w:rFonts w:ascii="Calibri" w:eastAsia="Times New Roman" w:hAnsi="Calibri" w:cs="Times New Roman"/>
      <w:szCs w:val="20"/>
    </w:rPr>
  </w:style>
  <w:style w:type="paragraph" w:styleId="Ttulo2">
    <w:name w:val="heading 2"/>
    <w:basedOn w:val="Normal"/>
    <w:link w:val="Ttulo2Car"/>
    <w:uiPriority w:val="9"/>
    <w:qFormat/>
    <w:rsid w:val="004614D1"/>
    <w:pPr>
      <w:spacing w:before="100" w:beforeAutospacing="1" w:after="100" w:afterAutospacing="1"/>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7F0E"/>
    <w:pPr>
      <w:tabs>
        <w:tab w:val="center" w:pos="4513"/>
        <w:tab w:val="right" w:pos="9026"/>
      </w:tabs>
    </w:pPr>
    <w:rPr>
      <w:rFonts w:asciiTheme="minorHAnsi" w:eastAsiaTheme="minorHAnsi" w:hAnsiTheme="minorHAnsi" w:cstheme="minorBidi"/>
      <w:szCs w:val="22"/>
    </w:rPr>
  </w:style>
  <w:style w:type="character" w:customStyle="1" w:styleId="EncabezadoCar">
    <w:name w:val="Encabezado Car"/>
    <w:basedOn w:val="Fuentedeprrafopredeter"/>
    <w:link w:val="Encabezado"/>
    <w:uiPriority w:val="99"/>
    <w:rsid w:val="00AD7F0E"/>
  </w:style>
  <w:style w:type="paragraph" w:styleId="Piedepgina">
    <w:name w:val="footer"/>
    <w:basedOn w:val="Normal"/>
    <w:link w:val="PiedepginaCar"/>
    <w:uiPriority w:val="99"/>
    <w:unhideWhenUsed/>
    <w:rsid w:val="00AD7F0E"/>
    <w:pPr>
      <w:tabs>
        <w:tab w:val="center" w:pos="4513"/>
        <w:tab w:val="right" w:pos="9026"/>
      </w:tabs>
    </w:pPr>
    <w:rPr>
      <w:rFonts w:asciiTheme="minorHAnsi" w:eastAsiaTheme="minorHAnsi" w:hAnsiTheme="minorHAnsi" w:cstheme="minorBidi"/>
      <w:szCs w:val="22"/>
    </w:rPr>
  </w:style>
  <w:style w:type="character" w:customStyle="1" w:styleId="PiedepginaCar">
    <w:name w:val="Pie de página Car"/>
    <w:basedOn w:val="Fuentedeprrafopredeter"/>
    <w:link w:val="Piedepgina"/>
    <w:uiPriority w:val="99"/>
    <w:rsid w:val="00AD7F0E"/>
  </w:style>
  <w:style w:type="character" w:styleId="Hipervnculo">
    <w:name w:val="Hyperlink"/>
    <w:uiPriority w:val="99"/>
    <w:unhideWhenUsed/>
    <w:rsid w:val="00AD7F0E"/>
    <w:rPr>
      <w:color w:val="0000FF"/>
      <w:u w:val="single"/>
    </w:rPr>
  </w:style>
  <w:style w:type="paragraph" w:styleId="Textosinformato">
    <w:name w:val="Plain Text"/>
    <w:basedOn w:val="Normal"/>
    <w:link w:val="TextosinformatoCar"/>
    <w:uiPriority w:val="99"/>
    <w:semiHidden/>
    <w:unhideWhenUsed/>
    <w:rsid w:val="00AD7F0E"/>
    <w:rPr>
      <w:rFonts w:eastAsiaTheme="minorHAnsi" w:cs="Calibri"/>
      <w:szCs w:val="22"/>
    </w:rPr>
  </w:style>
  <w:style w:type="character" w:customStyle="1" w:styleId="TextosinformatoCar">
    <w:name w:val="Texto sin formato Car"/>
    <w:basedOn w:val="Fuentedeprrafopredeter"/>
    <w:link w:val="Textosinformato"/>
    <w:uiPriority w:val="99"/>
    <w:semiHidden/>
    <w:rsid w:val="00AD7F0E"/>
    <w:rPr>
      <w:rFonts w:ascii="Calibri" w:hAnsi="Calibri" w:cs="Calibri"/>
    </w:rPr>
  </w:style>
  <w:style w:type="character" w:customStyle="1" w:styleId="s3">
    <w:name w:val="s3"/>
    <w:basedOn w:val="Fuentedeprrafopredeter"/>
    <w:rsid w:val="00AD7F0E"/>
  </w:style>
  <w:style w:type="character" w:customStyle="1" w:styleId="apple-converted-space">
    <w:name w:val="apple-converted-space"/>
    <w:basedOn w:val="Fuentedeprrafopredeter"/>
    <w:rsid w:val="00B921AE"/>
  </w:style>
  <w:style w:type="character" w:styleId="nfasis">
    <w:name w:val="Emphasis"/>
    <w:basedOn w:val="Fuentedeprrafopredeter"/>
    <w:uiPriority w:val="20"/>
    <w:qFormat/>
    <w:rsid w:val="00B921AE"/>
    <w:rPr>
      <w:i/>
      <w:iCs/>
    </w:rPr>
  </w:style>
  <w:style w:type="character" w:styleId="Refdecomentario">
    <w:name w:val="annotation reference"/>
    <w:basedOn w:val="Fuentedeprrafopredeter"/>
    <w:uiPriority w:val="99"/>
    <w:semiHidden/>
    <w:unhideWhenUsed/>
    <w:rsid w:val="00172DF6"/>
    <w:rPr>
      <w:sz w:val="16"/>
      <w:szCs w:val="16"/>
    </w:rPr>
  </w:style>
  <w:style w:type="paragraph" w:styleId="Textocomentario">
    <w:name w:val="annotation text"/>
    <w:basedOn w:val="Normal"/>
    <w:link w:val="TextocomentarioCar"/>
    <w:uiPriority w:val="99"/>
    <w:semiHidden/>
    <w:unhideWhenUsed/>
    <w:rsid w:val="00172DF6"/>
    <w:rPr>
      <w:sz w:val="20"/>
    </w:rPr>
  </w:style>
  <w:style w:type="character" w:customStyle="1" w:styleId="TextocomentarioCar">
    <w:name w:val="Texto comentario Car"/>
    <w:basedOn w:val="Fuentedeprrafopredeter"/>
    <w:link w:val="Textocomentario"/>
    <w:uiPriority w:val="99"/>
    <w:semiHidden/>
    <w:rsid w:val="00172DF6"/>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72DF6"/>
    <w:rPr>
      <w:b/>
      <w:bCs/>
    </w:rPr>
  </w:style>
  <w:style w:type="character" w:customStyle="1" w:styleId="AsuntodelcomentarioCar">
    <w:name w:val="Asunto del comentario Car"/>
    <w:basedOn w:val="TextocomentarioCar"/>
    <w:link w:val="Asuntodelcomentario"/>
    <w:uiPriority w:val="99"/>
    <w:semiHidden/>
    <w:rsid w:val="00172DF6"/>
    <w:rPr>
      <w:rFonts w:ascii="Calibri" w:eastAsia="Times New Roman" w:hAnsi="Calibri" w:cs="Times New Roman"/>
      <w:b/>
      <w:bCs/>
      <w:sz w:val="20"/>
      <w:szCs w:val="20"/>
    </w:rPr>
  </w:style>
  <w:style w:type="paragraph" w:styleId="Textodeglobo">
    <w:name w:val="Balloon Text"/>
    <w:basedOn w:val="Normal"/>
    <w:link w:val="TextodegloboCar"/>
    <w:uiPriority w:val="99"/>
    <w:semiHidden/>
    <w:unhideWhenUsed/>
    <w:rsid w:val="00172D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DF6"/>
    <w:rPr>
      <w:rFonts w:ascii="Segoe UI" w:eastAsia="Times New Roman" w:hAnsi="Segoe UI" w:cs="Segoe UI"/>
      <w:sz w:val="18"/>
      <w:szCs w:val="18"/>
    </w:rPr>
  </w:style>
  <w:style w:type="paragraph" w:styleId="Revisin">
    <w:name w:val="Revision"/>
    <w:hidden/>
    <w:uiPriority w:val="99"/>
    <w:semiHidden/>
    <w:rsid w:val="00D70F78"/>
    <w:pPr>
      <w:spacing w:after="0" w:line="240" w:lineRule="auto"/>
    </w:pPr>
    <w:rPr>
      <w:rFonts w:ascii="Calibri" w:eastAsia="Times New Roman" w:hAnsi="Calibri" w:cs="Times New Roman"/>
      <w:szCs w:val="20"/>
    </w:rPr>
  </w:style>
  <w:style w:type="paragraph" w:styleId="Prrafodelista">
    <w:name w:val="List Paragraph"/>
    <w:basedOn w:val="Normal"/>
    <w:link w:val="PrrafodelistaCar"/>
    <w:uiPriority w:val="34"/>
    <w:qFormat/>
    <w:rsid w:val="005A4C29"/>
    <w:pPr>
      <w:ind w:left="720"/>
      <w:contextualSpacing/>
    </w:pPr>
  </w:style>
  <w:style w:type="table" w:styleId="Tablaconcuadrcula">
    <w:name w:val="Table Grid"/>
    <w:basedOn w:val="Tablanormal"/>
    <w:uiPriority w:val="39"/>
    <w:rsid w:val="00BD1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B92FED"/>
    <w:rPr>
      <w:rFonts w:ascii="Arial" w:hAnsi="Arial"/>
      <w:sz w:val="20"/>
    </w:rPr>
  </w:style>
  <w:style w:type="character" w:customStyle="1" w:styleId="TextonotapieCar">
    <w:name w:val="Texto nota pie Car"/>
    <w:basedOn w:val="Fuentedeprrafopredeter"/>
    <w:link w:val="Textonotapie"/>
    <w:uiPriority w:val="99"/>
    <w:rsid w:val="00B92FED"/>
    <w:rPr>
      <w:rFonts w:ascii="Arial" w:eastAsia="Times New Roman" w:hAnsi="Arial" w:cs="Times New Roman"/>
      <w:sz w:val="20"/>
      <w:szCs w:val="20"/>
    </w:rPr>
  </w:style>
  <w:style w:type="character" w:styleId="Refdenotaalpie">
    <w:name w:val="footnote reference"/>
    <w:basedOn w:val="Fuentedeprrafopredeter"/>
    <w:uiPriority w:val="99"/>
    <w:rsid w:val="00B92FED"/>
    <w:rPr>
      <w:vertAlign w:val="superscript"/>
    </w:rPr>
  </w:style>
  <w:style w:type="character" w:customStyle="1" w:styleId="PrrafodelistaCar">
    <w:name w:val="Párrafo de lista Car"/>
    <w:basedOn w:val="Fuentedeprrafopredeter"/>
    <w:link w:val="Prrafodelista"/>
    <w:uiPriority w:val="34"/>
    <w:locked/>
    <w:rsid w:val="00CF051D"/>
    <w:rPr>
      <w:rFonts w:ascii="Calibri" w:eastAsia="Times New Roman" w:hAnsi="Calibri" w:cs="Times New Roman"/>
      <w:szCs w:val="20"/>
    </w:rPr>
  </w:style>
  <w:style w:type="character" w:customStyle="1" w:styleId="divfg">
    <w:name w:val="divfg"/>
    <w:basedOn w:val="Fuentedeprrafopredeter"/>
    <w:rsid w:val="00390014"/>
  </w:style>
  <w:style w:type="character" w:customStyle="1" w:styleId="Ttulo2Car">
    <w:name w:val="Título 2 Car"/>
    <w:basedOn w:val="Fuentedeprrafopredeter"/>
    <w:link w:val="Ttulo2"/>
    <w:uiPriority w:val="9"/>
    <w:rsid w:val="004614D1"/>
    <w:rPr>
      <w:rFonts w:ascii="Times New Roman" w:eastAsia="Times New Roman" w:hAnsi="Times New Roman" w:cs="Times New Roman"/>
      <w:b/>
      <w:bCs/>
      <w:sz w:val="36"/>
      <w:szCs w:val="36"/>
    </w:rPr>
  </w:style>
  <w:style w:type="character" w:customStyle="1" w:styleId="p-heading-02">
    <w:name w:val="p-heading-02"/>
    <w:basedOn w:val="Fuentedeprrafopredeter"/>
    <w:rsid w:val="004614D1"/>
  </w:style>
  <w:style w:type="paragraph" w:customStyle="1" w:styleId="s4">
    <w:name w:val="s4"/>
    <w:basedOn w:val="Normal"/>
    <w:uiPriority w:val="99"/>
    <w:rsid w:val="00E82A3F"/>
    <w:pPr>
      <w:spacing w:before="100" w:beforeAutospacing="1" w:after="100" w:afterAutospacing="1"/>
    </w:pPr>
    <w:rPr>
      <w:rFonts w:eastAsiaTheme="minorHAnsi" w:cs="Calibri"/>
      <w:szCs w:val="22"/>
    </w:rPr>
  </w:style>
  <w:style w:type="table" w:customStyle="1" w:styleId="Tablaconcuadrcula1">
    <w:name w:val="Tabla con cuadrícula1"/>
    <w:basedOn w:val="Tablanormal"/>
    <w:next w:val="Tablaconcuadrcula"/>
    <w:rsid w:val="00D76AFD"/>
    <w:pPr>
      <w:spacing w:after="0" w:line="240" w:lineRule="auto"/>
    </w:pPr>
    <w:rPr>
      <w:rFonts w:ascii="Times New Roman" w:eastAsia="Times New Roman" w:hAnsi="Times New Roman"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4096">
      <w:bodyDiv w:val="1"/>
      <w:marLeft w:val="0"/>
      <w:marRight w:val="0"/>
      <w:marTop w:val="0"/>
      <w:marBottom w:val="0"/>
      <w:divBdr>
        <w:top w:val="none" w:sz="0" w:space="0" w:color="auto"/>
        <w:left w:val="none" w:sz="0" w:space="0" w:color="auto"/>
        <w:bottom w:val="none" w:sz="0" w:space="0" w:color="auto"/>
        <w:right w:val="none" w:sz="0" w:space="0" w:color="auto"/>
      </w:divBdr>
    </w:div>
    <w:div w:id="20279773">
      <w:bodyDiv w:val="1"/>
      <w:marLeft w:val="0"/>
      <w:marRight w:val="0"/>
      <w:marTop w:val="0"/>
      <w:marBottom w:val="0"/>
      <w:divBdr>
        <w:top w:val="none" w:sz="0" w:space="0" w:color="auto"/>
        <w:left w:val="none" w:sz="0" w:space="0" w:color="auto"/>
        <w:bottom w:val="none" w:sz="0" w:space="0" w:color="auto"/>
        <w:right w:val="none" w:sz="0" w:space="0" w:color="auto"/>
      </w:divBdr>
    </w:div>
    <w:div w:id="60758949">
      <w:bodyDiv w:val="1"/>
      <w:marLeft w:val="0"/>
      <w:marRight w:val="0"/>
      <w:marTop w:val="0"/>
      <w:marBottom w:val="0"/>
      <w:divBdr>
        <w:top w:val="none" w:sz="0" w:space="0" w:color="auto"/>
        <w:left w:val="none" w:sz="0" w:space="0" w:color="auto"/>
        <w:bottom w:val="none" w:sz="0" w:space="0" w:color="auto"/>
        <w:right w:val="none" w:sz="0" w:space="0" w:color="auto"/>
      </w:divBdr>
    </w:div>
    <w:div w:id="62410576">
      <w:bodyDiv w:val="1"/>
      <w:marLeft w:val="0"/>
      <w:marRight w:val="0"/>
      <w:marTop w:val="0"/>
      <w:marBottom w:val="0"/>
      <w:divBdr>
        <w:top w:val="none" w:sz="0" w:space="0" w:color="auto"/>
        <w:left w:val="none" w:sz="0" w:space="0" w:color="auto"/>
        <w:bottom w:val="none" w:sz="0" w:space="0" w:color="auto"/>
        <w:right w:val="none" w:sz="0" w:space="0" w:color="auto"/>
      </w:divBdr>
    </w:div>
    <w:div w:id="159126474">
      <w:bodyDiv w:val="1"/>
      <w:marLeft w:val="0"/>
      <w:marRight w:val="0"/>
      <w:marTop w:val="0"/>
      <w:marBottom w:val="0"/>
      <w:divBdr>
        <w:top w:val="none" w:sz="0" w:space="0" w:color="auto"/>
        <w:left w:val="none" w:sz="0" w:space="0" w:color="auto"/>
        <w:bottom w:val="none" w:sz="0" w:space="0" w:color="auto"/>
        <w:right w:val="none" w:sz="0" w:space="0" w:color="auto"/>
      </w:divBdr>
    </w:div>
    <w:div w:id="167599177">
      <w:bodyDiv w:val="1"/>
      <w:marLeft w:val="0"/>
      <w:marRight w:val="0"/>
      <w:marTop w:val="0"/>
      <w:marBottom w:val="0"/>
      <w:divBdr>
        <w:top w:val="none" w:sz="0" w:space="0" w:color="auto"/>
        <w:left w:val="none" w:sz="0" w:space="0" w:color="auto"/>
        <w:bottom w:val="none" w:sz="0" w:space="0" w:color="auto"/>
        <w:right w:val="none" w:sz="0" w:space="0" w:color="auto"/>
      </w:divBdr>
    </w:div>
    <w:div w:id="241455308">
      <w:bodyDiv w:val="1"/>
      <w:marLeft w:val="0"/>
      <w:marRight w:val="0"/>
      <w:marTop w:val="0"/>
      <w:marBottom w:val="0"/>
      <w:divBdr>
        <w:top w:val="none" w:sz="0" w:space="0" w:color="auto"/>
        <w:left w:val="none" w:sz="0" w:space="0" w:color="auto"/>
        <w:bottom w:val="none" w:sz="0" w:space="0" w:color="auto"/>
        <w:right w:val="none" w:sz="0" w:space="0" w:color="auto"/>
      </w:divBdr>
    </w:div>
    <w:div w:id="331876686">
      <w:bodyDiv w:val="1"/>
      <w:marLeft w:val="0"/>
      <w:marRight w:val="0"/>
      <w:marTop w:val="0"/>
      <w:marBottom w:val="0"/>
      <w:divBdr>
        <w:top w:val="none" w:sz="0" w:space="0" w:color="auto"/>
        <w:left w:val="none" w:sz="0" w:space="0" w:color="auto"/>
        <w:bottom w:val="none" w:sz="0" w:space="0" w:color="auto"/>
        <w:right w:val="none" w:sz="0" w:space="0" w:color="auto"/>
      </w:divBdr>
    </w:div>
    <w:div w:id="351154000">
      <w:bodyDiv w:val="1"/>
      <w:marLeft w:val="0"/>
      <w:marRight w:val="0"/>
      <w:marTop w:val="0"/>
      <w:marBottom w:val="0"/>
      <w:divBdr>
        <w:top w:val="none" w:sz="0" w:space="0" w:color="auto"/>
        <w:left w:val="none" w:sz="0" w:space="0" w:color="auto"/>
        <w:bottom w:val="none" w:sz="0" w:space="0" w:color="auto"/>
        <w:right w:val="none" w:sz="0" w:space="0" w:color="auto"/>
      </w:divBdr>
    </w:div>
    <w:div w:id="390008831">
      <w:bodyDiv w:val="1"/>
      <w:marLeft w:val="0"/>
      <w:marRight w:val="0"/>
      <w:marTop w:val="0"/>
      <w:marBottom w:val="0"/>
      <w:divBdr>
        <w:top w:val="none" w:sz="0" w:space="0" w:color="auto"/>
        <w:left w:val="none" w:sz="0" w:space="0" w:color="auto"/>
        <w:bottom w:val="none" w:sz="0" w:space="0" w:color="auto"/>
        <w:right w:val="none" w:sz="0" w:space="0" w:color="auto"/>
      </w:divBdr>
    </w:div>
    <w:div w:id="462161635">
      <w:bodyDiv w:val="1"/>
      <w:marLeft w:val="0"/>
      <w:marRight w:val="0"/>
      <w:marTop w:val="0"/>
      <w:marBottom w:val="0"/>
      <w:divBdr>
        <w:top w:val="none" w:sz="0" w:space="0" w:color="auto"/>
        <w:left w:val="none" w:sz="0" w:space="0" w:color="auto"/>
        <w:bottom w:val="none" w:sz="0" w:space="0" w:color="auto"/>
        <w:right w:val="none" w:sz="0" w:space="0" w:color="auto"/>
      </w:divBdr>
    </w:div>
    <w:div w:id="507986916">
      <w:bodyDiv w:val="1"/>
      <w:marLeft w:val="0"/>
      <w:marRight w:val="0"/>
      <w:marTop w:val="0"/>
      <w:marBottom w:val="0"/>
      <w:divBdr>
        <w:top w:val="none" w:sz="0" w:space="0" w:color="auto"/>
        <w:left w:val="none" w:sz="0" w:space="0" w:color="auto"/>
        <w:bottom w:val="none" w:sz="0" w:space="0" w:color="auto"/>
        <w:right w:val="none" w:sz="0" w:space="0" w:color="auto"/>
      </w:divBdr>
    </w:div>
    <w:div w:id="528252787">
      <w:bodyDiv w:val="1"/>
      <w:marLeft w:val="0"/>
      <w:marRight w:val="0"/>
      <w:marTop w:val="0"/>
      <w:marBottom w:val="0"/>
      <w:divBdr>
        <w:top w:val="none" w:sz="0" w:space="0" w:color="auto"/>
        <w:left w:val="none" w:sz="0" w:space="0" w:color="auto"/>
        <w:bottom w:val="none" w:sz="0" w:space="0" w:color="auto"/>
        <w:right w:val="none" w:sz="0" w:space="0" w:color="auto"/>
      </w:divBdr>
    </w:div>
    <w:div w:id="643317391">
      <w:bodyDiv w:val="1"/>
      <w:marLeft w:val="0"/>
      <w:marRight w:val="0"/>
      <w:marTop w:val="0"/>
      <w:marBottom w:val="0"/>
      <w:divBdr>
        <w:top w:val="none" w:sz="0" w:space="0" w:color="auto"/>
        <w:left w:val="none" w:sz="0" w:space="0" w:color="auto"/>
        <w:bottom w:val="none" w:sz="0" w:space="0" w:color="auto"/>
        <w:right w:val="none" w:sz="0" w:space="0" w:color="auto"/>
      </w:divBdr>
    </w:div>
    <w:div w:id="739640382">
      <w:bodyDiv w:val="1"/>
      <w:marLeft w:val="0"/>
      <w:marRight w:val="0"/>
      <w:marTop w:val="0"/>
      <w:marBottom w:val="0"/>
      <w:divBdr>
        <w:top w:val="none" w:sz="0" w:space="0" w:color="auto"/>
        <w:left w:val="none" w:sz="0" w:space="0" w:color="auto"/>
        <w:bottom w:val="none" w:sz="0" w:space="0" w:color="auto"/>
        <w:right w:val="none" w:sz="0" w:space="0" w:color="auto"/>
      </w:divBdr>
    </w:div>
    <w:div w:id="908731932">
      <w:bodyDiv w:val="1"/>
      <w:marLeft w:val="0"/>
      <w:marRight w:val="0"/>
      <w:marTop w:val="0"/>
      <w:marBottom w:val="0"/>
      <w:divBdr>
        <w:top w:val="none" w:sz="0" w:space="0" w:color="auto"/>
        <w:left w:val="none" w:sz="0" w:space="0" w:color="auto"/>
        <w:bottom w:val="none" w:sz="0" w:space="0" w:color="auto"/>
        <w:right w:val="none" w:sz="0" w:space="0" w:color="auto"/>
      </w:divBdr>
    </w:div>
    <w:div w:id="1002513807">
      <w:bodyDiv w:val="1"/>
      <w:marLeft w:val="0"/>
      <w:marRight w:val="0"/>
      <w:marTop w:val="0"/>
      <w:marBottom w:val="0"/>
      <w:divBdr>
        <w:top w:val="none" w:sz="0" w:space="0" w:color="auto"/>
        <w:left w:val="none" w:sz="0" w:space="0" w:color="auto"/>
        <w:bottom w:val="none" w:sz="0" w:space="0" w:color="auto"/>
        <w:right w:val="none" w:sz="0" w:space="0" w:color="auto"/>
      </w:divBdr>
      <w:divsChild>
        <w:div w:id="1774134564">
          <w:marLeft w:val="0"/>
          <w:marRight w:val="0"/>
          <w:marTop w:val="0"/>
          <w:marBottom w:val="0"/>
          <w:divBdr>
            <w:top w:val="none" w:sz="0" w:space="0" w:color="auto"/>
            <w:left w:val="none" w:sz="0" w:space="0" w:color="auto"/>
            <w:bottom w:val="none" w:sz="0" w:space="0" w:color="auto"/>
            <w:right w:val="none" w:sz="0" w:space="0" w:color="auto"/>
          </w:divBdr>
        </w:div>
        <w:div w:id="1884828127">
          <w:marLeft w:val="0"/>
          <w:marRight w:val="0"/>
          <w:marTop w:val="0"/>
          <w:marBottom w:val="0"/>
          <w:divBdr>
            <w:top w:val="none" w:sz="0" w:space="0" w:color="auto"/>
            <w:left w:val="none" w:sz="0" w:space="0" w:color="auto"/>
            <w:bottom w:val="none" w:sz="0" w:space="0" w:color="auto"/>
            <w:right w:val="none" w:sz="0" w:space="0" w:color="auto"/>
          </w:divBdr>
          <w:divsChild>
            <w:div w:id="1553955021">
              <w:marLeft w:val="0"/>
              <w:marRight w:val="0"/>
              <w:marTop w:val="0"/>
              <w:marBottom w:val="0"/>
              <w:divBdr>
                <w:top w:val="none" w:sz="0" w:space="0" w:color="auto"/>
                <w:left w:val="none" w:sz="0" w:space="0" w:color="auto"/>
                <w:bottom w:val="none" w:sz="0" w:space="0" w:color="auto"/>
                <w:right w:val="none" w:sz="0" w:space="0" w:color="auto"/>
              </w:divBdr>
              <w:divsChild>
                <w:div w:id="1505390095">
                  <w:marLeft w:val="0"/>
                  <w:marRight w:val="0"/>
                  <w:marTop w:val="0"/>
                  <w:marBottom w:val="0"/>
                  <w:divBdr>
                    <w:top w:val="none" w:sz="0" w:space="0" w:color="auto"/>
                    <w:left w:val="none" w:sz="0" w:space="0" w:color="auto"/>
                    <w:bottom w:val="none" w:sz="0" w:space="0" w:color="auto"/>
                    <w:right w:val="none" w:sz="0" w:space="0" w:color="auto"/>
                  </w:divBdr>
                  <w:divsChild>
                    <w:div w:id="1928424029">
                      <w:marLeft w:val="0"/>
                      <w:marRight w:val="0"/>
                      <w:marTop w:val="150"/>
                      <w:marBottom w:val="150"/>
                      <w:divBdr>
                        <w:top w:val="none" w:sz="0" w:space="0" w:color="auto"/>
                        <w:left w:val="none" w:sz="0" w:space="0" w:color="auto"/>
                        <w:bottom w:val="none" w:sz="0" w:space="0" w:color="auto"/>
                        <w:right w:val="none" w:sz="0" w:space="0" w:color="auto"/>
                      </w:divBdr>
                    </w:div>
                    <w:div w:id="3101821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07637919">
      <w:bodyDiv w:val="1"/>
      <w:marLeft w:val="0"/>
      <w:marRight w:val="0"/>
      <w:marTop w:val="0"/>
      <w:marBottom w:val="0"/>
      <w:divBdr>
        <w:top w:val="none" w:sz="0" w:space="0" w:color="auto"/>
        <w:left w:val="none" w:sz="0" w:space="0" w:color="auto"/>
        <w:bottom w:val="none" w:sz="0" w:space="0" w:color="auto"/>
        <w:right w:val="none" w:sz="0" w:space="0" w:color="auto"/>
      </w:divBdr>
    </w:div>
    <w:div w:id="1040470035">
      <w:bodyDiv w:val="1"/>
      <w:marLeft w:val="0"/>
      <w:marRight w:val="0"/>
      <w:marTop w:val="0"/>
      <w:marBottom w:val="0"/>
      <w:divBdr>
        <w:top w:val="none" w:sz="0" w:space="0" w:color="auto"/>
        <w:left w:val="none" w:sz="0" w:space="0" w:color="auto"/>
        <w:bottom w:val="none" w:sz="0" w:space="0" w:color="auto"/>
        <w:right w:val="none" w:sz="0" w:space="0" w:color="auto"/>
      </w:divBdr>
    </w:div>
    <w:div w:id="1048844198">
      <w:bodyDiv w:val="1"/>
      <w:marLeft w:val="0"/>
      <w:marRight w:val="0"/>
      <w:marTop w:val="0"/>
      <w:marBottom w:val="0"/>
      <w:divBdr>
        <w:top w:val="none" w:sz="0" w:space="0" w:color="auto"/>
        <w:left w:val="none" w:sz="0" w:space="0" w:color="auto"/>
        <w:bottom w:val="none" w:sz="0" w:space="0" w:color="auto"/>
        <w:right w:val="none" w:sz="0" w:space="0" w:color="auto"/>
      </w:divBdr>
    </w:div>
    <w:div w:id="1067731641">
      <w:bodyDiv w:val="1"/>
      <w:marLeft w:val="0"/>
      <w:marRight w:val="0"/>
      <w:marTop w:val="0"/>
      <w:marBottom w:val="0"/>
      <w:divBdr>
        <w:top w:val="none" w:sz="0" w:space="0" w:color="auto"/>
        <w:left w:val="none" w:sz="0" w:space="0" w:color="auto"/>
        <w:bottom w:val="none" w:sz="0" w:space="0" w:color="auto"/>
        <w:right w:val="none" w:sz="0" w:space="0" w:color="auto"/>
      </w:divBdr>
    </w:div>
    <w:div w:id="1160923689">
      <w:bodyDiv w:val="1"/>
      <w:marLeft w:val="0"/>
      <w:marRight w:val="0"/>
      <w:marTop w:val="0"/>
      <w:marBottom w:val="0"/>
      <w:divBdr>
        <w:top w:val="none" w:sz="0" w:space="0" w:color="auto"/>
        <w:left w:val="none" w:sz="0" w:space="0" w:color="auto"/>
        <w:bottom w:val="none" w:sz="0" w:space="0" w:color="auto"/>
        <w:right w:val="none" w:sz="0" w:space="0" w:color="auto"/>
      </w:divBdr>
    </w:div>
    <w:div w:id="1270620358">
      <w:bodyDiv w:val="1"/>
      <w:marLeft w:val="0"/>
      <w:marRight w:val="0"/>
      <w:marTop w:val="0"/>
      <w:marBottom w:val="0"/>
      <w:divBdr>
        <w:top w:val="none" w:sz="0" w:space="0" w:color="auto"/>
        <w:left w:val="none" w:sz="0" w:space="0" w:color="auto"/>
        <w:bottom w:val="none" w:sz="0" w:space="0" w:color="auto"/>
        <w:right w:val="none" w:sz="0" w:space="0" w:color="auto"/>
      </w:divBdr>
    </w:div>
    <w:div w:id="1289817361">
      <w:bodyDiv w:val="1"/>
      <w:marLeft w:val="0"/>
      <w:marRight w:val="0"/>
      <w:marTop w:val="0"/>
      <w:marBottom w:val="0"/>
      <w:divBdr>
        <w:top w:val="none" w:sz="0" w:space="0" w:color="auto"/>
        <w:left w:val="none" w:sz="0" w:space="0" w:color="auto"/>
        <w:bottom w:val="none" w:sz="0" w:space="0" w:color="auto"/>
        <w:right w:val="none" w:sz="0" w:space="0" w:color="auto"/>
      </w:divBdr>
    </w:div>
    <w:div w:id="1293364752">
      <w:bodyDiv w:val="1"/>
      <w:marLeft w:val="0"/>
      <w:marRight w:val="0"/>
      <w:marTop w:val="0"/>
      <w:marBottom w:val="0"/>
      <w:divBdr>
        <w:top w:val="none" w:sz="0" w:space="0" w:color="auto"/>
        <w:left w:val="none" w:sz="0" w:space="0" w:color="auto"/>
        <w:bottom w:val="none" w:sz="0" w:space="0" w:color="auto"/>
        <w:right w:val="none" w:sz="0" w:space="0" w:color="auto"/>
      </w:divBdr>
    </w:div>
    <w:div w:id="1337804432">
      <w:bodyDiv w:val="1"/>
      <w:marLeft w:val="0"/>
      <w:marRight w:val="0"/>
      <w:marTop w:val="0"/>
      <w:marBottom w:val="0"/>
      <w:divBdr>
        <w:top w:val="none" w:sz="0" w:space="0" w:color="auto"/>
        <w:left w:val="none" w:sz="0" w:space="0" w:color="auto"/>
        <w:bottom w:val="none" w:sz="0" w:space="0" w:color="auto"/>
        <w:right w:val="none" w:sz="0" w:space="0" w:color="auto"/>
      </w:divBdr>
    </w:div>
    <w:div w:id="1342582563">
      <w:bodyDiv w:val="1"/>
      <w:marLeft w:val="0"/>
      <w:marRight w:val="0"/>
      <w:marTop w:val="0"/>
      <w:marBottom w:val="0"/>
      <w:divBdr>
        <w:top w:val="none" w:sz="0" w:space="0" w:color="auto"/>
        <w:left w:val="none" w:sz="0" w:space="0" w:color="auto"/>
        <w:bottom w:val="none" w:sz="0" w:space="0" w:color="auto"/>
        <w:right w:val="none" w:sz="0" w:space="0" w:color="auto"/>
      </w:divBdr>
    </w:div>
    <w:div w:id="1395205245">
      <w:bodyDiv w:val="1"/>
      <w:marLeft w:val="0"/>
      <w:marRight w:val="0"/>
      <w:marTop w:val="0"/>
      <w:marBottom w:val="0"/>
      <w:divBdr>
        <w:top w:val="none" w:sz="0" w:space="0" w:color="auto"/>
        <w:left w:val="none" w:sz="0" w:space="0" w:color="auto"/>
        <w:bottom w:val="none" w:sz="0" w:space="0" w:color="auto"/>
        <w:right w:val="none" w:sz="0" w:space="0" w:color="auto"/>
      </w:divBdr>
    </w:div>
    <w:div w:id="1406612682">
      <w:bodyDiv w:val="1"/>
      <w:marLeft w:val="0"/>
      <w:marRight w:val="0"/>
      <w:marTop w:val="0"/>
      <w:marBottom w:val="0"/>
      <w:divBdr>
        <w:top w:val="none" w:sz="0" w:space="0" w:color="auto"/>
        <w:left w:val="none" w:sz="0" w:space="0" w:color="auto"/>
        <w:bottom w:val="none" w:sz="0" w:space="0" w:color="auto"/>
        <w:right w:val="none" w:sz="0" w:space="0" w:color="auto"/>
      </w:divBdr>
    </w:div>
    <w:div w:id="1412193794">
      <w:bodyDiv w:val="1"/>
      <w:marLeft w:val="0"/>
      <w:marRight w:val="0"/>
      <w:marTop w:val="0"/>
      <w:marBottom w:val="0"/>
      <w:divBdr>
        <w:top w:val="none" w:sz="0" w:space="0" w:color="auto"/>
        <w:left w:val="none" w:sz="0" w:space="0" w:color="auto"/>
        <w:bottom w:val="none" w:sz="0" w:space="0" w:color="auto"/>
        <w:right w:val="none" w:sz="0" w:space="0" w:color="auto"/>
      </w:divBdr>
    </w:div>
    <w:div w:id="1478187140">
      <w:bodyDiv w:val="1"/>
      <w:marLeft w:val="0"/>
      <w:marRight w:val="0"/>
      <w:marTop w:val="0"/>
      <w:marBottom w:val="0"/>
      <w:divBdr>
        <w:top w:val="none" w:sz="0" w:space="0" w:color="auto"/>
        <w:left w:val="none" w:sz="0" w:space="0" w:color="auto"/>
        <w:bottom w:val="none" w:sz="0" w:space="0" w:color="auto"/>
        <w:right w:val="none" w:sz="0" w:space="0" w:color="auto"/>
      </w:divBdr>
    </w:div>
    <w:div w:id="1497263667">
      <w:bodyDiv w:val="1"/>
      <w:marLeft w:val="0"/>
      <w:marRight w:val="0"/>
      <w:marTop w:val="0"/>
      <w:marBottom w:val="0"/>
      <w:divBdr>
        <w:top w:val="none" w:sz="0" w:space="0" w:color="auto"/>
        <w:left w:val="none" w:sz="0" w:space="0" w:color="auto"/>
        <w:bottom w:val="none" w:sz="0" w:space="0" w:color="auto"/>
        <w:right w:val="none" w:sz="0" w:space="0" w:color="auto"/>
      </w:divBdr>
    </w:div>
    <w:div w:id="1509827636">
      <w:bodyDiv w:val="1"/>
      <w:marLeft w:val="0"/>
      <w:marRight w:val="0"/>
      <w:marTop w:val="0"/>
      <w:marBottom w:val="0"/>
      <w:divBdr>
        <w:top w:val="none" w:sz="0" w:space="0" w:color="auto"/>
        <w:left w:val="none" w:sz="0" w:space="0" w:color="auto"/>
        <w:bottom w:val="none" w:sz="0" w:space="0" w:color="auto"/>
        <w:right w:val="none" w:sz="0" w:space="0" w:color="auto"/>
      </w:divBdr>
    </w:div>
    <w:div w:id="1560943805">
      <w:bodyDiv w:val="1"/>
      <w:marLeft w:val="0"/>
      <w:marRight w:val="0"/>
      <w:marTop w:val="0"/>
      <w:marBottom w:val="0"/>
      <w:divBdr>
        <w:top w:val="none" w:sz="0" w:space="0" w:color="auto"/>
        <w:left w:val="none" w:sz="0" w:space="0" w:color="auto"/>
        <w:bottom w:val="none" w:sz="0" w:space="0" w:color="auto"/>
        <w:right w:val="none" w:sz="0" w:space="0" w:color="auto"/>
      </w:divBdr>
    </w:div>
    <w:div w:id="1565988058">
      <w:bodyDiv w:val="1"/>
      <w:marLeft w:val="0"/>
      <w:marRight w:val="0"/>
      <w:marTop w:val="0"/>
      <w:marBottom w:val="0"/>
      <w:divBdr>
        <w:top w:val="none" w:sz="0" w:space="0" w:color="auto"/>
        <w:left w:val="none" w:sz="0" w:space="0" w:color="auto"/>
        <w:bottom w:val="none" w:sz="0" w:space="0" w:color="auto"/>
        <w:right w:val="none" w:sz="0" w:space="0" w:color="auto"/>
      </w:divBdr>
    </w:div>
    <w:div w:id="1629776106">
      <w:bodyDiv w:val="1"/>
      <w:marLeft w:val="0"/>
      <w:marRight w:val="0"/>
      <w:marTop w:val="0"/>
      <w:marBottom w:val="0"/>
      <w:divBdr>
        <w:top w:val="none" w:sz="0" w:space="0" w:color="auto"/>
        <w:left w:val="none" w:sz="0" w:space="0" w:color="auto"/>
        <w:bottom w:val="none" w:sz="0" w:space="0" w:color="auto"/>
        <w:right w:val="none" w:sz="0" w:space="0" w:color="auto"/>
      </w:divBdr>
    </w:div>
    <w:div w:id="1640182866">
      <w:bodyDiv w:val="1"/>
      <w:marLeft w:val="0"/>
      <w:marRight w:val="0"/>
      <w:marTop w:val="0"/>
      <w:marBottom w:val="0"/>
      <w:divBdr>
        <w:top w:val="none" w:sz="0" w:space="0" w:color="auto"/>
        <w:left w:val="none" w:sz="0" w:space="0" w:color="auto"/>
        <w:bottom w:val="none" w:sz="0" w:space="0" w:color="auto"/>
        <w:right w:val="none" w:sz="0" w:space="0" w:color="auto"/>
      </w:divBdr>
    </w:div>
    <w:div w:id="1750077668">
      <w:bodyDiv w:val="1"/>
      <w:marLeft w:val="0"/>
      <w:marRight w:val="0"/>
      <w:marTop w:val="0"/>
      <w:marBottom w:val="0"/>
      <w:divBdr>
        <w:top w:val="none" w:sz="0" w:space="0" w:color="auto"/>
        <w:left w:val="none" w:sz="0" w:space="0" w:color="auto"/>
        <w:bottom w:val="none" w:sz="0" w:space="0" w:color="auto"/>
        <w:right w:val="none" w:sz="0" w:space="0" w:color="auto"/>
      </w:divBdr>
    </w:div>
    <w:div w:id="1898740326">
      <w:bodyDiv w:val="1"/>
      <w:marLeft w:val="0"/>
      <w:marRight w:val="0"/>
      <w:marTop w:val="0"/>
      <w:marBottom w:val="0"/>
      <w:divBdr>
        <w:top w:val="none" w:sz="0" w:space="0" w:color="auto"/>
        <w:left w:val="none" w:sz="0" w:space="0" w:color="auto"/>
        <w:bottom w:val="none" w:sz="0" w:space="0" w:color="auto"/>
        <w:right w:val="none" w:sz="0" w:space="0" w:color="auto"/>
      </w:divBdr>
    </w:div>
    <w:div w:id="1964264487">
      <w:bodyDiv w:val="1"/>
      <w:marLeft w:val="0"/>
      <w:marRight w:val="0"/>
      <w:marTop w:val="0"/>
      <w:marBottom w:val="0"/>
      <w:divBdr>
        <w:top w:val="none" w:sz="0" w:space="0" w:color="auto"/>
        <w:left w:val="none" w:sz="0" w:space="0" w:color="auto"/>
        <w:bottom w:val="none" w:sz="0" w:space="0" w:color="auto"/>
        <w:right w:val="none" w:sz="0" w:space="0" w:color="auto"/>
      </w:divBdr>
    </w:div>
    <w:div w:id="204343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edge.media-2Dserver.com_m6_p_iivnoc5e&amp;d=DwMFAg&amp;c=9wxE0DgWbPxd1HCzjwN8Eaww1--ViDajIU4RXCxgSXE&amp;r=FzcwoJSUHRRdNcLm52faK_Wyc8L-m3m2aWyiVsbzf2w&amp;m=eF8iDCzGCmot6DU7lhYt5TlDZRs4M_d-j0LqfPkmkFQ&amp;s=aHVfOpwF4BM4h2MXFshz3qTuM_X8QbIcwAdwCiEo1rk&amp;e=" TargetMode="External"/><Relationship Id="rId13" Type="http://schemas.openxmlformats.org/officeDocument/2006/relationships/hyperlink" Target="https://twitter.com/Lighting_Pr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ghting.philips.pt/companhia/newsroom/comunicados-de-imprens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derico.seruya@omnicomprgroup.com" TargetMode="External"/><Relationship Id="rId5" Type="http://schemas.openxmlformats.org/officeDocument/2006/relationships/webSettings" Target="webSettings.xml"/><Relationship Id="rId15" Type="http://schemas.openxmlformats.org/officeDocument/2006/relationships/hyperlink" Target="http://www.lighting.philips.com/main/investor" TargetMode="External"/><Relationship Id="rId10" Type="http://schemas.openxmlformats.org/officeDocument/2006/relationships/hyperlink" Target="mailto:mafalda.gomes@omnicomprgroup.com" TargetMode="External"/><Relationship Id="rId4" Type="http://schemas.openxmlformats.org/officeDocument/2006/relationships/settings" Target="settings.xml"/><Relationship Id="rId9" Type="http://schemas.openxmlformats.org/officeDocument/2006/relationships/hyperlink" Target="mailto:jordi.manrique@philips.com" TargetMode="External"/><Relationship Id="rId14" Type="http://schemas.openxmlformats.org/officeDocument/2006/relationships/hyperlink" Target="https://www.linkedin.com/showcase/180826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A1F2A-DD10-4405-BF0E-D381B411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1033</Words>
  <Characters>5682</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Ketchum Inc</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Holly</dc:creator>
  <cp:keywords/>
  <dc:description/>
  <cp:lastModifiedBy>Jordi Manrique</cp:lastModifiedBy>
  <cp:revision>23</cp:revision>
  <cp:lastPrinted>2018-03-07T13:47:00Z</cp:lastPrinted>
  <dcterms:created xsi:type="dcterms:W3CDTF">2018-03-07T10:47:00Z</dcterms:created>
  <dcterms:modified xsi:type="dcterms:W3CDTF">2018-03-13T19:27:00Z</dcterms:modified>
</cp:coreProperties>
</file>