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bookmarkStart w:id="0" w:name="_GoBack"/>
      <w:bookmarkEnd w:id="0"/>
    </w:p>
    <w:p w:rsidR="00FC2741" w:rsidRPr="002A226E" w:rsidRDefault="00A8447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15 de F</w:t>
      </w:r>
      <w:r w:rsidR="00FC2741" w:rsidRPr="002A226E">
        <w:rPr>
          <w:rFonts w:cs="Calibri"/>
          <w:color w:val="212121"/>
          <w:szCs w:val="22"/>
          <w:lang w:val="es-MX"/>
        </w:rPr>
        <w:t>evereiro de 2017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b/>
          <w:color w:val="212121"/>
          <w:sz w:val="28"/>
          <w:szCs w:val="22"/>
          <w:lang w:val="es-MX"/>
        </w:rPr>
      </w:pPr>
      <w:r w:rsidRPr="002A226E">
        <w:rPr>
          <w:rFonts w:cs="Calibri"/>
          <w:b/>
          <w:color w:val="212121"/>
          <w:sz w:val="28"/>
          <w:szCs w:val="22"/>
          <w:lang w:val="es-MX"/>
        </w:rPr>
        <w:t>Philips Lighting permite ao produtor de tulipa holandês Karel Bolbloemen para otimizar sua colheita com uma nova iluminação LED sintonizável.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 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b/>
          <w:color w:val="212121"/>
          <w:szCs w:val="22"/>
          <w:lang w:val="es-MX"/>
        </w:rPr>
        <w:t>Eindhoven, Holanda</w:t>
      </w:r>
      <w:r w:rsidRPr="002A226E">
        <w:rPr>
          <w:rFonts w:cs="Calibri"/>
          <w:color w:val="212121"/>
          <w:szCs w:val="22"/>
          <w:lang w:val="es-MX"/>
        </w:rPr>
        <w:t xml:space="preserve"> - Philips Lighting (Euronext Amsterdam ticker: LUZ) , líder mundial em iluminação, anunciou hoje, que instalou o crescimento dinâmico: iluminação no produtor de tulipas holandesas Karel Bolbloemen B.V. em Bovenkarpsel, na Holanda. O sistema faz com que seja possível ajustar receitas de luz durante o curso do ciclo de  crescimento para promover as características específicas, tais como um crescimento mais forte para as suas hastes tulipas.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 </w:t>
      </w:r>
    </w:p>
    <w:p w:rsidR="00FC2741" w:rsidRPr="002A226E" w:rsidRDefault="00FC2741" w:rsidP="00FC2741">
      <w:pPr>
        <w:shd w:val="clear" w:color="auto" w:fill="FFFFFF"/>
        <w:rPr>
          <w:rFonts w:cs="Calibri"/>
          <w:b/>
          <w:color w:val="212121"/>
          <w:szCs w:val="22"/>
          <w:lang w:val="es-MX"/>
        </w:rPr>
      </w:pPr>
      <w:r w:rsidRPr="002A226E">
        <w:rPr>
          <w:rFonts w:cs="Calibri"/>
          <w:b/>
          <w:color w:val="212121"/>
          <w:szCs w:val="22"/>
          <w:lang w:val="es-MX"/>
        </w:rPr>
        <w:t>Tulipa de cores agradáveis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Com a iluminação LED Philips GreenPower Dynamic LED as cores LED no espectro (vermelho escuro e azul, vermelho e branco) e as intensidades da luz são ajustadas individualmente usando controles de software. Este nível de flexibilidade no sistema de iluminação é benéfico para a investigação e revela que as tulipas respondem de formas diferentes a diferentes LED-cores.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b/>
          <w:color w:val="212121"/>
          <w:szCs w:val="22"/>
          <w:lang w:val="es-MX"/>
        </w:rPr>
      </w:pPr>
      <w:r w:rsidRPr="002A226E">
        <w:rPr>
          <w:rFonts w:cs="Calibri"/>
          <w:b/>
          <w:color w:val="212121"/>
          <w:szCs w:val="22"/>
          <w:lang w:val="es-MX"/>
        </w:rPr>
        <w:t>A idéia melhor da luz certa receita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O novo sistema de iluminação Philips Lighting controlável dá aos pesquisadores e produtores como Karel Bolbloemen B.V. mais informação e  opções para optimizar o crescimento de um número ilimitado de receitas de luz  que podem agora ser usada com a mesma fonte. A iluminação pode ser ajustada com precisão para melhorar a qualidade de tulipas e reduzir as taxas de falha. A flexibilidade também pode ser usada para uma melhor produção e atender a demanda de pico.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"O novo sistema de iluminação Philips GreenPower LED nos dá a flexibilidade para ajustar as receitas de luz a qualquer hora do dia, além de nos dar novas idéias para otimizar o crescimento das plantas. Com o novo sistema de iluminação LED da Philips é possível manter curto e compacto os caules e tornam mais fortes as tulipas tulipa ", diz Bert Karel, Karel proprietário Bolbloemen BV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b/>
          <w:color w:val="212121"/>
          <w:szCs w:val="22"/>
          <w:lang w:val="es-MX"/>
        </w:rPr>
      </w:pPr>
      <w:r w:rsidRPr="002A226E">
        <w:rPr>
          <w:rFonts w:cs="Calibri"/>
          <w:b/>
          <w:color w:val="212121"/>
          <w:szCs w:val="22"/>
          <w:lang w:val="es-MX"/>
        </w:rPr>
        <w:t>Agricultura vertical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Karel Bolbloemen B.V., começou em agricultura vertical em 2011, o que torna uma das primeiras empresas de tulipas na Holanda a adotar 'expansão interna' cultivo em larga escala de múltiplas camadas. Nesta área de múltiplas camadas de 3.000m2, as tulipas são propagadas desde o início em quatro camadas em recipientes de fluxo e sistema de fluxo. As Tulipas são mantidas no escuro durante os primeiros dias para germinar, antes de acrescentar a iluminação LED.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"Esta é uma inovação revolucionária. Agora, com um único sistema de iluminação, os pesquisadores e produtores têm a flexibilidade e precisão para refinar os espectros de luz e intensidade de LED e dirigir-se as características específicas de crescimento de plantas e culturas . Da ao cultivador de tulipa (Karel Bolbloemen) a flexibilidade de ajustar a receita de luz sobre o ciclo de crescimento da sua colheita para atender às necessidades de aperfeiçoar suas tulipas crescendo”. diz Udo van Slooten, líder de negócios da Philips Lighting Horticulture LED Solutions. 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  <w:r w:rsidRPr="002A226E">
        <w:rPr>
          <w:rFonts w:cs="Calibri"/>
          <w:color w:val="212121"/>
          <w:szCs w:val="22"/>
          <w:lang w:val="es-MX"/>
        </w:rPr>
        <w:t>O sócio da Horti LED Van der Laan foi encarregado da instalação técnica. Van der Laan e engenheiros da aplicação de Philips Lighting fizeram um desing para uma solução personalizada para Bert Karel, incluindo o  software e  controles.</w:t>
      </w: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  <w:lang w:val="es-MX"/>
        </w:rPr>
      </w:pPr>
    </w:p>
    <w:p w:rsidR="00FC2741" w:rsidRPr="002A226E" w:rsidRDefault="00FC2741" w:rsidP="00FC2741">
      <w:pPr>
        <w:shd w:val="clear" w:color="auto" w:fill="FFFFFF"/>
        <w:rPr>
          <w:rFonts w:cs="Calibri"/>
          <w:color w:val="212121"/>
          <w:szCs w:val="22"/>
        </w:rPr>
      </w:pPr>
      <w:r w:rsidRPr="002A226E">
        <w:rPr>
          <w:rFonts w:cs="Calibri"/>
          <w:color w:val="212121"/>
          <w:szCs w:val="22"/>
          <w:lang w:val="es-MX"/>
        </w:rPr>
        <w:t> </w:t>
      </w:r>
      <w:r w:rsidRPr="002A226E">
        <w:rPr>
          <w:rFonts w:cs="Calibri"/>
          <w:color w:val="0B2265"/>
          <w:szCs w:val="22"/>
        </w:rPr>
        <w:t>Para mais informações: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Philips Lighting Relações com a Mídia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 w:rsidRPr="002A226E">
        <w:rPr>
          <w:rFonts w:ascii="Calibri" w:hAnsi="Calibri" w:cs="Calibri"/>
          <w:color w:val="0B2265"/>
          <w:sz w:val="22"/>
          <w:szCs w:val="22"/>
        </w:rPr>
        <w:t>Bengi Silan Genc, Gerente de Relações Global Media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LED e iluminação especial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Philips Lighting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Tel: +31 6 25441798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E-mail: bengi.genc@philips.com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 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Daniela Damoiseaux, Director of World Horticultura Marcom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soluções LED para a horticultura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Philips Lighting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Tel: +31 6 31 65 29 69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E-mail: daniela.damoiseaux@philips.com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www.philips.com/horti</w:t>
      </w:r>
    </w:p>
    <w:p w:rsidR="00FC2741" w:rsidRPr="002A226E" w:rsidRDefault="00FC2741" w:rsidP="00FC2741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B2265"/>
          <w:sz w:val="22"/>
          <w:szCs w:val="22"/>
          <w:lang w:val="en-US"/>
        </w:rPr>
        <w:t> </w:t>
      </w:r>
    </w:p>
    <w:p w:rsidR="00FC2741" w:rsidRPr="002A226E" w:rsidRDefault="00FC2741" w:rsidP="00FC2741">
      <w:pPr>
        <w:pStyle w:val="xmsonormal"/>
        <w:shd w:val="clear" w:color="auto" w:fill="FFFFFF"/>
        <w:textAlignment w:val="baseline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0F204B"/>
          <w:spacing w:val="-3"/>
          <w:sz w:val="22"/>
          <w:szCs w:val="22"/>
          <w:bdr w:val="none" w:sz="0" w:space="0" w:color="auto" w:frame="1"/>
          <w:lang w:val="en-US"/>
        </w:rPr>
        <w:t>Sobre a Philips Lighting</w:t>
      </w:r>
    </w:p>
    <w:p w:rsidR="00FC2741" w:rsidRPr="002A226E" w:rsidRDefault="00FC2741" w:rsidP="00FC2741">
      <w:pPr>
        <w:pStyle w:val="xmsonormal"/>
        <w:shd w:val="clear" w:color="auto" w:fill="FFFFFF"/>
        <w:textAlignment w:val="baseline"/>
        <w:rPr>
          <w:rFonts w:ascii="Calibri" w:hAnsi="Calibri" w:cs="Calibri"/>
          <w:color w:val="212121"/>
          <w:sz w:val="22"/>
          <w:szCs w:val="22"/>
          <w:lang w:val="en-US"/>
        </w:rPr>
      </w:pPr>
      <w:r w:rsidRPr="002A226E">
        <w:rPr>
          <w:rFonts w:ascii="Calibri" w:hAnsi="Calibri" w:cs="Calibri"/>
          <w:color w:val="212121"/>
          <w:sz w:val="22"/>
          <w:szCs w:val="22"/>
          <w:lang w:val="pt-BR"/>
        </w:rPr>
        <w:lastRenderedPageBreak/>
        <w:t>Philips Lighting (Euronext Amsterdam ticker: LUZ), líder mundial em produtos, sistemas e serviços de iluminação, oferece inovações que promovem valor de negócio, proporcionando incríveis experiências para o usuário que ajudam a melhorar a vida. Atendendo aos mercados profissionais e de consumo, nós lideramos a indústria aproveitando a Internet das coisas para transformar casas, edifícios e espaços urbanos. Com vendas de 7,5 MDE em 2105, temos aproximadamente 36.000 funcionários em mais de 70 países. Notícias</w:t>
      </w:r>
      <w:r w:rsidRPr="002A226E">
        <w:rPr>
          <w:rStyle w:val="xapple-converted-space"/>
          <w:rFonts w:ascii="Calibri" w:hAnsi="Calibri" w:cs="Calibri"/>
          <w:color w:val="212121"/>
          <w:sz w:val="22"/>
          <w:szCs w:val="22"/>
          <w:lang w:val="pt-BR"/>
        </w:rPr>
        <w:t> </w:t>
      </w:r>
      <w:r w:rsidRPr="002A226E">
        <w:rPr>
          <w:rFonts w:ascii="Calibri" w:hAnsi="Calibri" w:cs="Calibri"/>
          <w:color w:val="212121"/>
          <w:sz w:val="22"/>
          <w:szCs w:val="22"/>
          <w:lang w:val="pt-BR"/>
        </w:rPr>
        <w:t>Philips Lighting estão em </w:t>
      </w:r>
      <w:hyperlink r:id="rId8" w:tgtFrame="_blank" w:history="1">
        <w:r w:rsidRPr="002A226E">
          <w:rPr>
            <w:rStyle w:val="Hyperlink"/>
            <w:rFonts w:ascii="Calibri" w:hAnsi="Calibri" w:cs="Calibri"/>
            <w:sz w:val="22"/>
            <w:szCs w:val="22"/>
            <w:u w:val="none"/>
            <w:lang w:val="pt-BR"/>
          </w:rPr>
          <w:t>http://www.newsroom.lighting.philips.com</w:t>
        </w:r>
      </w:hyperlink>
    </w:p>
    <w:p w:rsidR="00225849" w:rsidRPr="002A226E" w:rsidRDefault="00225849" w:rsidP="00FC2741">
      <w:pPr>
        <w:rPr>
          <w:rFonts w:cs="Calibri"/>
          <w:szCs w:val="22"/>
        </w:rPr>
      </w:pPr>
    </w:p>
    <w:sectPr w:rsidR="00225849" w:rsidRPr="002A226E" w:rsidSect="001C273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B5" w:rsidRDefault="00ED3DB5">
      <w:r>
        <w:separator/>
      </w:r>
    </w:p>
  </w:endnote>
  <w:endnote w:type="continuationSeparator" w:id="0">
    <w:p w:rsidR="00ED3DB5" w:rsidRDefault="00ED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rale_sans_xbold">
    <w:altName w:val="Times New Roman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B5" w:rsidRDefault="00ED3DB5">
      <w:r>
        <w:separator/>
      </w:r>
    </w:p>
  </w:footnote>
  <w:footnote w:type="continuationSeparator" w:id="0">
    <w:p w:rsidR="00ED3DB5" w:rsidRDefault="00ED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eastAsia="en-US"/>
      </w:rPr>
      <w:drawing>
        <wp:inline distT="0" distB="0" distL="0" distR="0" wp14:anchorId="19BC504A" wp14:editId="6860DFC0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 w:rsidR="009E2945">
      <w:t xml:space="preserve"> </w:t>
    </w:r>
  </w:p>
  <w:p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2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2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6E58C4">
            <w:rPr>
              <w:noProof/>
              <w:sz w:val="16"/>
              <w:szCs w:val="16"/>
              <w:lang w:val="en-GB"/>
            </w:rPr>
            <w:t>3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15" w:rsidRDefault="005D0415">
    <w:pPr>
      <w:spacing w:line="240" w:lineRule="exact"/>
      <w:rPr>
        <w:lang w:val="en-GB"/>
      </w:rPr>
    </w:pPr>
    <w:bookmarkStart w:id="3" w:name="Dashes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4" w:name="Falz1"/>
    <w:r>
      <w:rPr>
        <w:lang w:val="en-GB"/>
      </w:rPr>
      <w:t>_</w:t>
    </w:r>
  </w:p>
  <w:p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5" w:name="Falz2"/>
    <w:bookmarkEnd w:id="4"/>
    <w:r>
      <w:rPr>
        <w:lang w:val="en-GB"/>
      </w:rPr>
      <w:t>_</w:t>
    </w:r>
  </w:p>
  <w:bookmarkEnd w:id="3"/>
  <w:bookmarkEnd w:id="5"/>
  <w:p w:rsidR="005D0415" w:rsidRDefault="00671080">
    <w:pPr>
      <w:spacing w:line="240" w:lineRule="exact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4C3C8" wp14:editId="0587B33D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072CC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3EDFF" wp14:editId="45FE2A60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A8424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6C5"/>
    <w:rsid w:val="000043DD"/>
    <w:rsid w:val="0001292A"/>
    <w:rsid w:val="0001308C"/>
    <w:rsid w:val="00014F84"/>
    <w:rsid w:val="00021B4E"/>
    <w:rsid w:val="00024DF5"/>
    <w:rsid w:val="00025AC4"/>
    <w:rsid w:val="000260FC"/>
    <w:rsid w:val="00035A19"/>
    <w:rsid w:val="00042C7C"/>
    <w:rsid w:val="000476B0"/>
    <w:rsid w:val="00047D5C"/>
    <w:rsid w:val="00056E22"/>
    <w:rsid w:val="000637AA"/>
    <w:rsid w:val="00081964"/>
    <w:rsid w:val="00091FB2"/>
    <w:rsid w:val="000943AB"/>
    <w:rsid w:val="0009471A"/>
    <w:rsid w:val="000A0F6D"/>
    <w:rsid w:val="000C2B40"/>
    <w:rsid w:val="000C706F"/>
    <w:rsid w:val="000D105D"/>
    <w:rsid w:val="000D2E72"/>
    <w:rsid w:val="000F2014"/>
    <w:rsid w:val="000F2F8C"/>
    <w:rsid w:val="000F713C"/>
    <w:rsid w:val="00110B19"/>
    <w:rsid w:val="00117A79"/>
    <w:rsid w:val="0012462A"/>
    <w:rsid w:val="00124843"/>
    <w:rsid w:val="001366EE"/>
    <w:rsid w:val="00171EAD"/>
    <w:rsid w:val="00182C19"/>
    <w:rsid w:val="001877D8"/>
    <w:rsid w:val="0019312A"/>
    <w:rsid w:val="00195ADF"/>
    <w:rsid w:val="00195C05"/>
    <w:rsid w:val="001A19B9"/>
    <w:rsid w:val="001C2732"/>
    <w:rsid w:val="001E388F"/>
    <w:rsid w:val="001E4783"/>
    <w:rsid w:val="001E7587"/>
    <w:rsid w:val="00205E8C"/>
    <w:rsid w:val="00221DD3"/>
    <w:rsid w:val="00225849"/>
    <w:rsid w:val="00230FC6"/>
    <w:rsid w:val="00242321"/>
    <w:rsid w:val="00244059"/>
    <w:rsid w:val="00255825"/>
    <w:rsid w:val="00274407"/>
    <w:rsid w:val="002A226E"/>
    <w:rsid w:val="002C3953"/>
    <w:rsid w:val="002C7C32"/>
    <w:rsid w:val="002D465C"/>
    <w:rsid w:val="002E2AE1"/>
    <w:rsid w:val="002E6842"/>
    <w:rsid w:val="002F7D92"/>
    <w:rsid w:val="002F7FAA"/>
    <w:rsid w:val="00303852"/>
    <w:rsid w:val="003105DD"/>
    <w:rsid w:val="0032047C"/>
    <w:rsid w:val="00321D12"/>
    <w:rsid w:val="0032484E"/>
    <w:rsid w:val="00334962"/>
    <w:rsid w:val="00350F6A"/>
    <w:rsid w:val="00352A06"/>
    <w:rsid w:val="0035650B"/>
    <w:rsid w:val="00363923"/>
    <w:rsid w:val="00383300"/>
    <w:rsid w:val="003B50E2"/>
    <w:rsid w:val="003B5679"/>
    <w:rsid w:val="003C7BC4"/>
    <w:rsid w:val="003D4505"/>
    <w:rsid w:val="003D452F"/>
    <w:rsid w:val="003E638B"/>
    <w:rsid w:val="003E696C"/>
    <w:rsid w:val="004033EC"/>
    <w:rsid w:val="00412931"/>
    <w:rsid w:val="00431130"/>
    <w:rsid w:val="0044687A"/>
    <w:rsid w:val="004538EB"/>
    <w:rsid w:val="00464CE7"/>
    <w:rsid w:val="004958F4"/>
    <w:rsid w:val="004A084D"/>
    <w:rsid w:val="004D5872"/>
    <w:rsid w:val="004F46FB"/>
    <w:rsid w:val="004F4E5C"/>
    <w:rsid w:val="00514AB2"/>
    <w:rsid w:val="00515460"/>
    <w:rsid w:val="005169CC"/>
    <w:rsid w:val="005456F8"/>
    <w:rsid w:val="0054717D"/>
    <w:rsid w:val="00553441"/>
    <w:rsid w:val="00570287"/>
    <w:rsid w:val="00570A71"/>
    <w:rsid w:val="00591CBB"/>
    <w:rsid w:val="005956A7"/>
    <w:rsid w:val="005D0415"/>
    <w:rsid w:val="005D27A2"/>
    <w:rsid w:val="005D6AB6"/>
    <w:rsid w:val="005F1CED"/>
    <w:rsid w:val="005F5B7B"/>
    <w:rsid w:val="006018EF"/>
    <w:rsid w:val="0060195B"/>
    <w:rsid w:val="006204FC"/>
    <w:rsid w:val="00634EA8"/>
    <w:rsid w:val="00636C20"/>
    <w:rsid w:val="006479C8"/>
    <w:rsid w:val="00655488"/>
    <w:rsid w:val="0066150C"/>
    <w:rsid w:val="00671080"/>
    <w:rsid w:val="00671BF6"/>
    <w:rsid w:val="00672916"/>
    <w:rsid w:val="006769C4"/>
    <w:rsid w:val="00694039"/>
    <w:rsid w:val="006A5164"/>
    <w:rsid w:val="006A69AC"/>
    <w:rsid w:val="006D7A4F"/>
    <w:rsid w:val="006E365A"/>
    <w:rsid w:val="006E58C4"/>
    <w:rsid w:val="006F50A9"/>
    <w:rsid w:val="00700037"/>
    <w:rsid w:val="00713A54"/>
    <w:rsid w:val="0072438F"/>
    <w:rsid w:val="007265AF"/>
    <w:rsid w:val="0073157C"/>
    <w:rsid w:val="007419B6"/>
    <w:rsid w:val="00746BCF"/>
    <w:rsid w:val="007502BB"/>
    <w:rsid w:val="00754D1D"/>
    <w:rsid w:val="00765796"/>
    <w:rsid w:val="00767F9F"/>
    <w:rsid w:val="007852E7"/>
    <w:rsid w:val="00786DFB"/>
    <w:rsid w:val="0079014C"/>
    <w:rsid w:val="0079197B"/>
    <w:rsid w:val="007A0207"/>
    <w:rsid w:val="007A5BE8"/>
    <w:rsid w:val="007A5C57"/>
    <w:rsid w:val="007B1B4C"/>
    <w:rsid w:val="007E0A8E"/>
    <w:rsid w:val="007E7D83"/>
    <w:rsid w:val="007F663B"/>
    <w:rsid w:val="00801F75"/>
    <w:rsid w:val="008065CA"/>
    <w:rsid w:val="00837998"/>
    <w:rsid w:val="00850616"/>
    <w:rsid w:val="008608DA"/>
    <w:rsid w:val="0087549C"/>
    <w:rsid w:val="00880FB4"/>
    <w:rsid w:val="00893E98"/>
    <w:rsid w:val="008A5A22"/>
    <w:rsid w:val="008B225F"/>
    <w:rsid w:val="008B7637"/>
    <w:rsid w:val="008C731D"/>
    <w:rsid w:val="008D1788"/>
    <w:rsid w:val="008F3B50"/>
    <w:rsid w:val="008F4C19"/>
    <w:rsid w:val="008F7DC3"/>
    <w:rsid w:val="00904220"/>
    <w:rsid w:val="009124EF"/>
    <w:rsid w:val="00915D0E"/>
    <w:rsid w:val="009249FF"/>
    <w:rsid w:val="00933592"/>
    <w:rsid w:val="00937D21"/>
    <w:rsid w:val="009432E0"/>
    <w:rsid w:val="0094371D"/>
    <w:rsid w:val="009469C4"/>
    <w:rsid w:val="00962D0E"/>
    <w:rsid w:val="00963201"/>
    <w:rsid w:val="00976AF8"/>
    <w:rsid w:val="00976DEC"/>
    <w:rsid w:val="009836E6"/>
    <w:rsid w:val="009A302D"/>
    <w:rsid w:val="009B03CB"/>
    <w:rsid w:val="009C009D"/>
    <w:rsid w:val="009C16F2"/>
    <w:rsid w:val="009D0765"/>
    <w:rsid w:val="009D0F08"/>
    <w:rsid w:val="009D3DA2"/>
    <w:rsid w:val="009E2945"/>
    <w:rsid w:val="009E54C7"/>
    <w:rsid w:val="009F0F23"/>
    <w:rsid w:val="00A0626A"/>
    <w:rsid w:val="00A34268"/>
    <w:rsid w:val="00A3524F"/>
    <w:rsid w:val="00A4176E"/>
    <w:rsid w:val="00A45509"/>
    <w:rsid w:val="00A508DF"/>
    <w:rsid w:val="00A613E1"/>
    <w:rsid w:val="00A84471"/>
    <w:rsid w:val="00AA1551"/>
    <w:rsid w:val="00AA3BCC"/>
    <w:rsid w:val="00AA40E7"/>
    <w:rsid w:val="00AB1495"/>
    <w:rsid w:val="00AD313B"/>
    <w:rsid w:val="00AD7FD4"/>
    <w:rsid w:val="00AE0637"/>
    <w:rsid w:val="00AE0B23"/>
    <w:rsid w:val="00AE295C"/>
    <w:rsid w:val="00AF29A9"/>
    <w:rsid w:val="00AF74AD"/>
    <w:rsid w:val="00B22224"/>
    <w:rsid w:val="00B23C51"/>
    <w:rsid w:val="00B279D3"/>
    <w:rsid w:val="00B3736B"/>
    <w:rsid w:val="00B63A04"/>
    <w:rsid w:val="00B77B78"/>
    <w:rsid w:val="00B84119"/>
    <w:rsid w:val="00BA1932"/>
    <w:rsid w:val="00BA71D4"/>
    <w:rsid w:val="00BD2613"/>
    <w:rsid w:val="00BF0D56"/>
    <w:rsid w:val="00C16D9B"/>
    <w:rsid w:val="00C3282D"/>
    <w:rsid w:val="00C42352"/>
    <w:rsid w:val="00C53F8F"/>
    <w:rsid w:val="00C7024E"/>
    <w:rsid w:val="00C73796"/>
    <w:rsid w:val="00C80E08"/>
    <w:rsid w:val="00C90041"/>
    <w:rsid w:val="00C96175"/>
    <w:rsid w:val="00CA53E6"/>
    <w:rsid w:val="00CB0BD0"/>
    <w:rsid w:val="00CB3CD0"/>
    <w:rsid w:val="00CB592E"/>
    <w:rsid w:val="00CC4CE1"/>
    <w:rsid w:val="00CE46FA"/>
    <w:rsid w:val="00CF4E87"/>
    <w:rsid w:val="00D17ECB"/>
    <w:rsid w:val="00D235E6"/>
    <w:rsid w:val="00D31A0E"/>
    <w:rsid w:val="00D426B5"/>
    <w:rsid w:val="00D56FC7"/>
    <w:rsid w:val="00D60AE9"/>
    <w:rsid w:val="00D901BA"/>
    <w:rsid w:val="00D948B8"/>
    <w:rsid w:val="00D95397"/>
    <w:rsid w:val="00D957C3"/>
    <w:rsid w:val="00DA60CC"/>
    <w:rsid w:val="00DB0D0D"/>
    <w:rsid w:val="00DC183B"/>
    <w:rsid w:val="00DC59AA"/>
    <w:rsid w:val="00DC72B7"/>
    <w:rsid w:val="00DD3D62"/>
    <w:rsid w:val="00DD5064"/>
    <w:rsid w:val="00DD5243"/>
    <w:rsid w:val="00DD6120"/>
    <w:rsid w:val="00DE36DE"/>
    <w:rsid w:val="00DE5EA6"/>
    <w:rsid w:val="00E10A1F"/>
    <w:rsid w:val="00E13A61"/>
    <w:rsid w:val="00E17F57"/>
    <w:rsid w:val="00E2088F"/>
    <w:rsid w:val="00E216D8"/>
    <w:rsid w:val="00E40199"/>
    <w:rsid w:val="00E439A6"/>
    <w:rsid w:val="00E502E5"/>
    <w:rsid w:val="00E50437"/>
    <w:rsid w:val="00E51E4D"/>
    <w:rsid w:val="00E529B9"/>
    <w:rsid w:val="00E56722"/>
    <w:rsid w:val="00E60953"/>
    <w:rsid w:val="00E62463"/>
    <w:rsid w:val="00E70F79"/>
    <w:rsid w:val="00E73838"/>
    <w:rsid w:val="00E73C6E"/>
    <w:rsid w:val="00E84233"/>
    <w:rsid w:val="00E84385"/>
    <w:rsid w:val="00E85731"/>
    <w:rsid w:val="00EA175A"/>
    <w:rsid w:val="00EB0E93"/>
    <w:rsid w:val="00EB1008"/>
    <w:rsid w:val="00EB207D"/>
    <w:rsid w:val="00EC7BB4"/>
    <w:rsid w:val="00ED3DB5"/>
    <w:rsid w:val="00ED78A8"/>
    <w:rsid w:val="00F224EF"/>
    <w:rsid w:val="00F314D3"/>
    <w:rsid w:val="00F37E10"/>
    <w:rsid w:val="00F423F4"/>
    <w:rsid w:val="00F42983"/>
    <w:rsid w:val="00F476EE"/>
    <w:rsid w:val="00F53963"/>
    <w:rsid w:val="00F63CFE"/>
    <w:rsid w:val="00F64725"/>
    <w:rsid w:val="00F72B37"/>
    <w:rsid w:val="00F77841"/>
    <w:rsid w:val="00F77C4A"/>
    <w:rsid w:val="00F84064"/>
    <w:rsid w:val="00F843C0"/>
    <w:rsid w:val="00F85737"/>
    <w:rsid w:val="00F87990"/>
    <w:rsid w:val="00FA040B"/>
    <w:rsid w:val="00FA14EC"/>
    <w:rsid w:val="00FB326A"/>
    <w:rsid w:val="00FC2741"/>
    <w:rsid w:val="00FC31F5"/>
    <w:rsid w:val="00FD097C"/>
    <w:rsid w:val="00FD2538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063B13-01FB-41D0-93D9-7AAAFC0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customStyle="1" w:styleId="p-heading-039">
    <w:name w:val="p-heading-039"/>
    <w:basedOn w:val="DefaultParagraphFont"/>
    <w:rsid w:val="004F4E5C"/>
    <w:rPr>
      <w:rFonts w:ascii="centrale_sans_xbold" w:hAnsi="centrale_sans_xbold" w:hint="default"/>
      <w:b w:val="0"/>
      <w:bCs w:val="0"/>
      <w:color w:val="0F204B"/>
      <w:spacing w:val="-3"/>
      <w:sz w:val="32"/>
      <w:szCs w:val="32"/>
    </w:rPr>
  </w:style>
  <w:style w:type="character" w:customStyle="1" w:styleId="p-body-copy-029">
    <w:name w:val="p-body-copy-029"/>
    <w:basedOn w:val="DefaultParagraphFont"/>
    <w:rsid w:val="004F4E5C"/>
    <w:rPr>
      <w:rFonts w:ascii="centrale_sans_book" w:hAnsi="centrale_sans_book" w:hint="default"/>
      <w:sz w:val="21"/>
      <w:szCs w:val="21"/>
    </w:rPr>
  </w:style>
  <w:style w:type="paragraph" w:styleId="NoSpacing">
    <w:name w:val="No Spacing"/>
    <w:uiPriority w:val="1"/>
    <w:qFormat/>
    <w:rsid w:val="00024DF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A53E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3E6"/>
    <w:rPr>
      <w:rFonts w:ascii="Calibri" w:hAnsi="Calibri"/>
      <w:lang w:val="en-US"/>
    </w:rPr>
  </w:style>
  <w:style w:type="character" w:styleId="FootnoteReference">
    <w:name w:val="footnote reference"/>
    <w:basedOn w:val="DefaultParagraphFont"/>
    <w:semiHidden/>
    <w:unhideWhenUsed/>
    <w:rsid w:val="00CA53E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D26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26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2613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613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semiHidden/>
    <w:unhideWhenUsed/>
    <w:rsid w:val="00AF29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AC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01F75"/>
  </w:style>
  <w:style w:type="paragraph" w:customStyle="1" w:styleId="xmsonormal">
    <w:name w:val="x_msonormal"/>
    <w:basedOn w:val="Normal"/>
    <w:rsid w:val="00FC27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xapple-converted-space">
    <w:name w:val="x_apple-converted-space"/>
    <w:basedOn w:val="DefaultParagraphFont"/>
    <w:rsid w:val="00FC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1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94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room.lighting.philip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9107-B4DA-48BA-84F6-BDA32EAA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Ilona van der Wallen</cp:lastModifiedBy>
  <cp:revision>2</cp:revision>
  <cp:lastPrinted>2002-03-12T13:40:00Z</cp:lastPrinted>
  <dcterms:created xsi:type="dcterms:W3CDTF">2017-02-23T15:39:00Z</dcterms:created>
  <dcterms:modified xsi:type="dcterms:W3CDTF">2017-02-23T15:39:00Z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