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Pr="009175B4" w:rsidRDefault="00D2642A" w:rsidP="00D2642A">
      <w:pPr>
        <w:rPr>
          <w:rFonts w:asciiTheme="minorHAnsi" w:hAnsiTheme="minorHAnsi" w:cstheme="minorHAnsi"/>
          <w:szCs w:val="24"/>
          <w:lang w:val="de-DE" w:eastAsia="en-US"/>
        </w:rPr>
      </w:pPr>
    </w:p>
    <w:p w:rsidR="00D2642A" w:rsidRPr="009175B4" w:rsidRDefault="00D2642A" w:rsidP="00D2642A">
      <w:pPr>
        <w:rPr>
          <w:rFonts w:asciiTheme="minorHAnsi" w:hAnsiTheme="minorHAnsi" w:cstheme="minorHAnsi"/>
          <w:szCs w:val="24"/>
          <w:lang w:val="de-DE" w:eastAsia="en-US"/>
        </w:rPr>
      </w:pPr>
    </w:p>
    <w:p w:rsidR="00D2642A" w:rsidRPr="009175B4" w:rsidRDefault="00AB1CB4" w:rsidP="00D2642A">
      <w:pPr>
        <w:rPr>
          <w:rFonts w:asciiTheme="minorHAnsi" w:hAnsiTheme="minorHAnsi" w:cstheme="minorHAnsi"/>
          <w:szCs w:val="24"/>
          <w:lang w:val="de-DE" w:eastAsia="en-US"/>
        </w:rPr>
      </w:pPr>
      <w:r>
        <w:rPr>
          <w:rFonts w:asciiTheme="minorHAnsi" w:hAnsiTheme="minorHAnsi" w:cstheme="minorHAnsi"/>
          <w:szCs w:val="24"/>
          <w:lang w:val="de-DE" w:eastAsia="en-US"/>
        </w:rPr>
        <w:t>Dezember</w:t>
      </w:r>
      <w:r w:rsidR="003A09C9" w:rsidRPr="009175B4">
        <w:rPr>
          <w:rFonts w:asciiTheme="minorHAnsi" w:hAnsiTheme="minorHAnsi" w:cstheme="minorHAnsi"/>
          <w:szCs w:val="24"/>
          <w:lang w:val="de-DE" w:eastAsia="en-US"/>
        </w:rPr>
        <w:t xml:space="preserve"> 2017</w:t>
      </w:r>
    </w:p>
    <w:p w:rsidR="00D2642A" w:rsidRPr="00AF064B" w:rsidRDefault="00D2642A" w:rsidP="00D2642A">
      <w:pPr>
        <w:rPr>
          <w:rFonts w:asciiTheme="minorHAnsi" w:hAnsiTheme="minorHAnsi" w:cstheme="minorHAnsi"/>
          <w:szCs w:val="22"/>
          <w:lang w:val="de-DE" w:eastAsia="en-US"/>
        </w:rPr>
      </w:pPr>
    </w:p>
    <w:p w:rsidR="00AF064B" w:rsidRPr="00626156" w:rsidRDefault="00AF064B" w:rsidP="00AF064B">
      <w:pPr>
        <w:autoSpaceDE w:val="0"/>
        <w:autoSpaceDN w:val="0"/>
        <w:adjustRightInd w:val="0"/>
        <w:rPr>
          <w:rFonts w:eastAsia="Calibri" w:cs="Calibri"/>
          <w:bCs/>
          <w:sz w:val="24"/>
          <w:szCs w:val="24"/>
          <w:lang w:val="de-DE"/>
        </w:rPr>
      </w:pPr>
      <w:r w:rsidRPr="00626156">
        <w:rPr>
          <w:rFonts w:eastAsia="Calibri" w:cs="Calibri"/>
          <w:bCs/>
          <w:sz w:val="24"/>
          <w:szCs w:val="24"/>
          <w:lang w:val="de-DE"/>
        </w:rPr>
        <w:t>Umbruch in der Sportstättenbeleuchtung</w:t>
      </w:r>
    </w:p>
    <w:p w:rsidR="00AF064B" w:rsidRPr="00AF064B" w:rsidRDefault="00AF064B" w:rsidP="00AF064B">
      <w:pPr>
        <w:autoSpaceDE w:val="0"/>
        <w:autoSpaceDN w:val="0"/>
        <w:adjustRightInd w:val="0"/>
        <w:rPr>
          <w:rFonts w:eastAsia="Calibri" w:cs="Calibri"/>
          <w:bCs/>
          <w:szCs w:val="22"/>
          <w:lang w:val="de-DE"/>
        </w:rPr>
      </w:pPr>
    </w:p>
    <w:p w:rsidR="00AF064B" w:rsidRPr="00626156" w:rsidRDefault="00AF064B" w:rsidP="00AF064B">
      <w:pPr>
        <w:autoSpaceDE w:val="0"/>
        <w:autoSpaceDN w:val="0"/>
        <w:adjustRightInd w:val="0"/>
        <w:rPr>
          <w:rFonts w:eastAsia="Calibri" w:cs="Calibri"/>
          <w:b/>
          <w:bCs/>
          <w:sz w:val="24"/>
          <w:szCs w:val="24"/>
          <w:lang w:val="de-DE"/>
        </w:rPr>
      </w:pPr>
      <w:r w:rsidRPr="00626156">
        <w:rPr>
          <w:rFonts w:eastAsia="Calibri" w:cs="Calibri"/>
          <w:b/>
          <w:bCs/>
          <w:sz w:val="24"/>
          <w:szCs w:val="24"/>
          <w:lang w:val="de-DE"/>
        </w:rPr>
        <w:t>Mehrwert schaffen durch vernetzte LED-Beleuchtung</w:t>
      </w:r>
    </w:p>
    <w:p w:rsidR="00AF064B" w:rsidRPr="00EE047D" w:rsidRDefault="00AF064B" w:rsidP="00AF064B">
      <w:pPr>
        <w:autoSpaceDE w:val="0"/>
        <w:autoSpaceDN w:val="0"/>
        <w:adjustRightInd w:val="0"/>
        <w:rPr>
          <w:rFonts w:eastAsia="Calibri" w:cs="Calibri"/>
          <w:bCs/>
          <w:szCs w:val="22"/>
          <w:lang w:val="de-DE"/>
        </w:rPr>
      </w:pPr>
    </w:p>
    <w:p w:rsidR="00AF064B" w:rsidRPr="00AF064B" w:rsidRDefault="00AF064B" w:rsidP="00AF064B">
      <w:pPr>
        <w:rPr>
          <w:rFonts w:cs="Calibri"/>
          <w:szCs w:val="22"/>
          <w:lang w:val="de-DE"/>
        </w:rPr>
      </w:pPr>
      <w:r w:rsidRPr="00AF064B">
        <w:rPr>
          <w:rFonts w:cs="Calibri"/>
          <w:szCs w:val="22"/>
          <w:lang w:val="de-DE"/>
        </w:rPr>
        <w:t xml:space="preserve">Anders als in den meisten Bereichen der professionellen Beleuchtung, in der sich LEDs mehr und mehr durchsetzen, ist die Sportfeldbeleuchtung immer noch eine Domäne der konventionellen Lichttechnik. </w:t>
      </w:r>
      <w:r w:rsidRPr="00914CB4">
        <w:rPr>
          <w:rFonts w:cs="Calibri"/>
          <w:szCs w:val="22"/>
          <w:lang w:val="de-DE"/>
        </w:rPr>
        <w:t>Der Grund dafür</w:t>
      </w:r>
      <w:r w:rsidRPr="00AF064B">
        <w:rPr>
          <w:rFonts w:cs="Calibri"/>
          <w:szCs w:val="22"/>
          <w:lang w:val="de-DE"/>
        </w:rPr>
        <w:t xml:space="preserve"> sind unter anderem die hohen Beleuchtungsstärken, die zur Übertragung von Farbfernsehbildern in</w:t>
      </w:r>
      <w:r w:rsidR="00EE047D">
        <w:rPr>
          <w:rFonts w:cs="Calibri"/>
          <w:szCs w:val="22"/>
          <w:lang w:val="de-DE"/>
        </w:rPr>
        <w:t xml:space="preserve"> UHD</w:t>
      </w:r>
      <w:r w:rsidRPr="00AF064B">
        <w:rPr>
          <w:rFonts w:cs="Calibri"/>
          <w:szCs w:val="22"/>
          <w:lang w:val="de-DE"/>
        </w:rPr>
        <w:t xml:space="preserve">-Qualität nötig sind. </w:t>
      </w:r>
    </w:p>
    <w:p w:rsidR="00AF064B" w:rsidRPr="00AF064B" w:rsidRDefault="00AF064B" w:rsidP="00AF064B">
      <w:pPr>
        <w:rPr>
          <w:rFonts w:cs="Calibri"/>
          <w:szCs w:val="22"/>
          <w:lang w:val="de-DE"/>
        </w:rPr>
      </w:pPr>
    </w:p>
    <w:p w:rsidR="00AF064B" w:rsidRPr="00AF064B" w:rsidRDefault="00AF064B" w:rsidP="00AF064B">
      <w:pPr>
        <w:rPr>
          <w:rFonts w:cs="Calibri"/>
          <w:szCs w:val="22"/>
          <w:lang w:val="de-DE"/>
        </w:rPr>
      </w:pPr>
      <w:r w:rsidRPr="00AF064B">
        <w:rPr>
          <w:rFonts w:cs="Calibri"/>
          <w:szCs w:val="22"/>
          <w:lang w:val="de-DE"/>
        </w:rPr>
        <w:t>Mit der Entwicklung des ArenaVision LED-Flutlichtsystems von Philips Lighting</w:t>
      </w:r>
      <w:r w:rsidR="00E60A2F" w:rsidRPr="00EE047D">
        <w:rPr>
          <w:rFonts w:cs="Calibri"/>
          <w:szCs w:val="22"/>
          <w:lang w:val="de-DE"/>
        </w:rPr>
        <w:t>, Wel</w:t>
      </w:r>
      <w:bookmarkStart w:id="0" w:name="_GoBack"/>
      <w:bookmarkEnd w:id="0"/>
      <w:r w:rsidR="00E60A2F" w:rsidRPr="00EE047D">
        <w:rPr>
          <w:rFonts w:cs="Calibri"/>
          <w:szCs w:val="22"/>
          <w:lang w:val="de-DE"/>
        </w:rPr>
        <w:t>tmarktführer für Beleuchtung,</w:t>
      </w:r>
      <w:r w:rsidRPr="00AF064B">
        <w:rPr>
          <w:rFonts w:cs="Calibri"/>
          <w:szCs w:val="22"/>
          <w:lang w:val="de-DE"/>
        </w:rPr>
        <w:t xml:space="preserve"> und dem Trend, Sportstadien zu multifunktionalen Arenen umzugestalten, könnte diese Bastion bald fallen. ArenaVision LED ist das weltweit erste Hochleistungsscheinwerfersystem, das </w:t>
      </w:r>
      <w:r w:rsidRPr="00AF064B">
        <w:rPr>
          <w:rFonts w:eastAsia="Calibri" w:cs="Calibri"/>
          <w:szCs w:val="22"/>
          <w:lang w:val="de-DE"/>
        </w:rPr>
        <w:t xml:space="preserve">die hohen Anforderungen und strengen Vorgaben der Fernsehsender sowie internationalen und nationalen Sportverbände wie UEFA oder DFL in allen Punkten erfüllt. </w:t>
      </w:r>
    </w:p>
    <w:p w:rsidR="00AF064B" w:rsidRPr="00AF064B" w:rsidRDefault="00AF064B" w:rsidP="00AF064B">
      <w:pPr>
        <w:autoSpaceDE w:val="0"/>
        <w:autoSpaceDN w:val="0"/>
        <w:adjustRightInd w:val="0"/>
        <w:rPr>
          <w:rFonts w:eastAsia="Calibri" w:cs="Calibri"/>
          <w:bCs/>
          <w:szCs w:val="22"/>
          <w:lang w:val="de-DE"/>
        </w:rPr>
      </w:pPr>
    </w:p>
    <w:p w:rsidR="00AF064B" w:rsidRPr="00AF064B" w:rsidRDefault="00AF064B" w:rsidP="00AF064B">
      <w:pPr>
        <w:autoSpaceDE w:val="0"/>
        <w:autoSpaceDN w:val="0"/>
        <w:adjustRightInd w:val="0"/>
        <w:rPr>
          <w:rFonts w:eastAsia="Calibri" w:cs="Calibri"/>
          <w:szCs w:val="22"/>
          <w:lang w:val="de-DE"/>
        </w:rPr>
      </w:pPr>
      <w:r w:rsidRPr="00AF064B">
        <w:rPr>
          <w:rFonts w:eastAsia="Calibri" w:cs="Calibri"/>
          <w:szCs w:val="22"/>
          <w:lang w:val="de-DE"/>
        </w:rPr>
        <w:t xml:space="preserve">Philips ArenaVison LED schafft für die Fernsehsender beste Voraussetzungen, auch feinste Details des Wettkampfs und jede kleinste Emotion der Spieler auf dem Platz in bester Qualität zu übertragen, so dass Millionen Fernsehzuschauer HD-Bildqualität und exzellente Superzeitlupenaufnahmen ohne Flackereffekt genießen können. Weitere Vorzüge, die herkömmliche Flutlichtlösungen nicht bieten, sind das verzögerungsfreie An- und Ausschalten, die stufenlose Lichtniveauregelung sowie die Vernetzung mit anderen Beleuchtungssystemen, wie der Eventbeleuchtung. Auch Bild- und Tonwiedergabe lassen sich damit kombinieren. </w:t>
      </w:r>
    </w:p>
    <w:p w:rsidR="00AF064B" w:rsidRPr="00AF064B" w:rsidRDefault="00AF064B" w:rsidP="00AF064B">
      <w:pPr>
        <w:autoSpaceDE w:val="0"/>
        <w:autoSpaceDN w:val="0"/>
        <w:adjustRightInd w:val="0"/>
        <w:rPr>
          <w:rFonts w:eastAsia="Calibri" w:cs="Calibri"/>
          <w:szCs w:val="22"/>
          <w:lang w:val="de-DE"/>
        </w:rPr>
      </w:pPr>
    </w:p>
    <w:p w:rsidR="00AF064B" w:rsidRDefault="00AF064B" w:rsidP="00AF064B">
      <w:pPr>
        <w:autoSpaceDE w:val="0"/>
        <w:autoSpaceDN w:val="0"/>
        <w:adjustRightInd w:val="0"/>
        <w:rPr>
          <w:rFonts w:eastAsia="Calibri" w:cs="Calibri"/>
          <w:szCs w:val="22"/>
          <w:lang w:val="de-DE"/>
        </w:rPr>
      </w:pPr>
      <w:r w:rsidRPr="00AF064B">
        <w:rPr>
          <w:rFonts w:eastAsia="Calibri" w:cs="Calibri"/>
          <w:szCs w:val="22"/>
          <w:lang w:val="de-DE"/>
        </w:rPr>
        <w:t>Mehr und mehr moderne Stadien werden inzwischen außer zu Sportwettkämpfen auch für andere Großveranstaltungen genutzt. Die Betreiber stehen heute vor der Herausforderung, die Betriebskosten zu senken und sich zugleich neue Einnahmequellen zu erschließen. Das erfordert die Umgestaltung der Sportstätten zu multifunktionalen Arenen. Vernetztes Licht ist eine wesentliche Komponente dazu.</w:t>
      </w:r>
    </w:p>
    <w:p w:rsidR="00626156" w:rsidRPr="00AF064B" w:rsidRDefault="00626156" w:rsidP="00AF064B">
      <w:pPr>
        <w:autoSpaceDE w:val="0"/>
        <w:autoSpaceDN w:val="0"/>
        <w:adjustRightInd w:val="0"/>
        <w:rPr>
          <w:rFonts w:eastAsia="Calibri" w:cs="Calibri"/>
          <w:szCs w:val="22"/>
          <w:lang w:val="de-DE"/>
        </w:rPr>
      </w:pPr>
    </w:p>
    <w:p w:rsidR="00AF064B" w:rsidRPr="00AF064B" w:rsidRDefault="00AF064B" w:rsidP="00AF064B">
      <w:pPr>
        <w:autoSpaceDE w:val="0"/>
        <w:autoSpaceDN w:val="0"/>
        <w:adjustRightInd w:val="0"/>
        <w:rPr>
          <w:rFonts w:eastAsia="Calibri" w:cs="Calibri"/>
          <w:b/>
          <w:szCs w:val="22"/>
          <w:lang w:val="de-DE"/>
        </w:rPr>
      </w:pPr>
      <w:r w:rsidRPr="00AF064B">
        <w:rPr>
          <w:rFonts w:eastAsia="Calibri" w:cs="Calibri"/>
          <w:b/>
          <w:szCs w:val="22"/>
          <w:lang w:val="de-DE"/>
        </w:rPr>
        <w:t>Vernetzte Lichtsysteme</w:t>
      </w:r>
    </w:p>
    <w:p w:rsidR="00AF064B" w:rsidRPr="00AF064B" w:rsidRDefault="00AF064B" w:rsidP="00AF064B">
      <w:pPr>
        <w:autoSpaceDE w:val="0"/>
        <w:autoSpaceDN w:val="0"/>
        <w:adjustRightInd w:val="0"/>
        <w:rPr>
          <w:rFonts w:eastAsia="Calibri" w:cs="Calibri"/>
          <w:szCs w:val="22"/>
          <w:lang w:val="de-DE"/>
        </w:rPr>
      </w:pPr>
      <w:r w:rsidRPr="00AF064B">
        <w:rPr>
          <w:rFonts w:eastAsia="Calibri" w:cs="Calibri"/>
          <w:szCs w:val="22"/>
          <w:lang w:val="de-DE"/>
        </w:rPr>
        <w:t>Die Beleuchtungstechnologie hat sich in den vergangenen Jahren rasant gewandelt. Aus einst statischen Lichtquellen sind steuerbare, farbige, dynamische sowie langlebige, energieeffiziente und somit kostensparende LED-Systeme entstanden. Damit lassen sich die Stadien immer vielseitiger auch als Mehrzweckstätten nutzen und ganzjährige Einnahmeströme generieren. Die vernetzten LED-Beleuchtungslösungen von Philips Lighting ermöglichen eine umfassende Steuerung nicht nur der Spielfeldbeleuchtung, sondern auch der Beleuchtung in allen anderen Bereichen des Stadions, wie der Gastronomiebereiche, der Logen und Einzelhandelsgeschäfte oder der Infra</w:t>
      </w:r>
      <w:r w:rsidR="00914CB4">
        <w:rPr>
          <w:rFonts w:eastAsia="Calibri" w:cs="Calibri"/>
          <w:szCs w:val="22"/>
          <w:lang w:val="de-DE"/>
        </w:rPr>
        <w:t>struktur rund um das Stadion.</w:t>
      </w:r>
    </w:p>
    <w:p w:rsidR="00AF064B" w:rsidRPr="00AF064B" w:rsidRDefault="00AF064B" w:rsidP="00AF064B">
      <w:pPr>
        <w:autoSpaceDE w:val="0"/>
        <w:autoSpaceDN w:val="0"/>
        <w:adjustRightInd w:val="0"/>
        <w:rPr>
          <w:rFonts w:eastAsia="Calibri" w:cs="Calibri"/>
          <w:szCs w:val="22"/>
          <w:lang w:val="de-DE"/>
        </w:rPr>
      </w:pPr>
    </w:p>
    <w:p w:rsidR="00AF064B" w:rsidRPr="00AF064B" w:rsidRDefault="00AF064B" w:rsidP="00AF064B">
      <w:pPr>
        <w:autoSpaceDE w:val="0"/>
        <w:autoSpaceDN w:val="0"/>
        <w:adjustRightInd w:val="0"/>
        <w:rPr>
          <w:rFonts w:eastAsia="Calibri" w:cs="Calibri"/>
          <w:szCs w:val="22"/>
          <w:lang w:val="de-DE"/>
        </w:rPr>
      </w:pPr>
      <w:r w:rsidRPr="00AF064B">
        <w:rPr>
          <w:rFonts w:eastAsia="Calibri" w:cs="Calibri"/>
          <w:szCs w:val="22"/>
          <w:lang w:val="de-DE"/>
        </w:rPr>
        <w:t xml:space="preserve">Durch die Vernetzung des LED-Flutlichts mit Beleuchtungssystemen und -steuerungen aus der Unterhaltungsbranche lassen sich spezielle Lichteffekte erzeugen, mit denen Fernsehsender ihren </w:t>
      </w:r>
      <w:r w:rsidRPr="00AF064B">
        <w:rPr>
          <w:rFonts w:eastAsia="Calibri" w:cs="Calibri"/>
          <w:szCs w:val="22"/>
          <w:lang w:val="de-DE"/>
        </w:rPr>
        <w:lastRenderedPageBreak/>
        <w:t>Zuschauern bereits vor dem Anpfiff eines Spiels eine zusätzliche emotionale Komponente einer Sportveranstaltung vermitteln als wären sie live dabei. Für die Stadionbesucher lässt sich mit dem dynamischen Lichtambiente eine neue, attraktive Erlebniswelt schaffen.</w:t>
      </w:r>
    </w:p>
    <w:p w:rsidR="00AF064B" w:rsidRPr="00AF064B" w:rsidRDefault="00AF064B" w:rsidP="00AF064B">
      <w:pPr>
        <w:autoSpaceDE w:val="0"/>
        <w:autoSpaceDN w:val="0"/>
        <w:adjustRightInd w:val="0"/>
        <w:rPr>
          <w:rFonts w:eastAsia="Calibri" w:cs="Calibri"/>
          <w:szCs w:val="22"/>
          <w:lang w:val="de-DE"/>
        </w:rPr>
      </w:pPr>
    </w:p>
    <w:p w:rsidR="00AF064B" w:rsidRPr="00AF064B" w:rsidRDefault="00AF064B" w:rsidP="00AF064B">
      <w:pPr>
        <w:autoSpaceDE w:val="0"/>
        <w:autoSpaceDN w:val="0"/>
        <w:adjustRightInd w:val="0"/>
        <w:rPr>
          <w:rFonts w:eastAsia="Calibri" w:cs="Calibri"/>
          <w:b/>
          <w:szCs w:val="22"/>
          <w:lang w:val="de-DE"/>
        </w:rPr>
      </w:pPr>
      <w:r w:rsidRPr="00AF064B">
        <w:rPr>
          <w:rFonts w:eastAsia="Calibri" w:cs="Calibri"/>
          <w:b/>
          <w:szCs w:val="22"/>
          <w:lang w:val="de-DE"/>
        </w:rPr>
        <w:t>Umfangreiches Expertenwissen</w:t>
      </w:r>
    </w:p>
    <w:p w:rsidR="00AF064B" w:rsidRPr="00AF064B" w:rsidRDefault="00AF064B" w:rsidP="00AF064B">
      <w:pPr>
        <w:autoSpaceDE w:val="0"/>
        <w:autoSpaceDN w:val="0"/>
        <w:adjustRightInd w:val="0"/>
        <w:rPr>
          <w:rFonts w:eastAsia="Calibri" w:cs="Calibri"/>
          <w:color w:val="000000"/>
          <w:szCs w:val="22"/>
          <w:lang w:val="de-DE"/>
        </w:rPr>
      </w:pPr>
      <w:r w:rsidRPr="00AF064B">
        <w:rPr>
          <w:rFonts w:eastAsia="Calibri" w:cs="Calibri"/>
          <w:color w:val="000000"/>
          <w:szCs w:val="22"/>
          <w:lang w:val="de-DE"/>
        </w:rPr>
        <w:t xml:space="preserve">Philips Lighting verfügt weltweit über das umfangreichste Expertenwissen im Bereich Sportfeldbeleuchtung und liefert maßgeschneiderte Lichtlösungen für alle Sportarten. </w:t>
      </w:r>
      <w:r w:rsidRPr="00AF064B">
        <w:rPr>
          <w:rFonts w:cs="Calibri"/>
          <w:szCs w:val="22"/>
          <w:lang w:val="de-DE"/>
        </w:rPr>
        <w:t xml:space="preserve">Durch diese Partnerschaften hat das Unternehmen zur Entwicklung offizieller Spezifikationen und Richtlinien für die Flutlichtbeleuchtung von Sportveranstaltungen beigetragen. </w:t>
      </w:r>
      <w:r w:rsidRPr="00AF064B">
        <w:rPr>
          <w:rFonts w:eastAsia="Calibri" w:cs="Calibri"/>
          <w:color w:val="000000"/>
          <w:szCs w:val="22"/>
          <w:lang w:val="de-DE"/>
        </w:rPr>
        <w:t>Beleuchtungslösungen und –services werden nicht nur für alle größeren Sportveranstaltungen – wie Welt- oder Europameisterschaften und Olympische Spiele ─ eingesetzt, sondern auch zur Beleuchtung kommunaler Sportfelder.</w:t>
      </w:r>
    </w:p>
    <w:p w:rsidR="00AF064B" w:rsidRPr="00AF064B" w:rsidRDefault="00AF064B" w:rsidP="00AF064B">
      <w:pPr>
        <w:autoSpaceDE w:val="0"/>
        <w:autoSpaceDN w:val="0"/>
        <w:adjustRightInd w:val="0"/>
        <w:rPr>
          <w:rFonts w:eastAsia="Calibri" w:cs="Calibri"/>
          <w:color w:val="000000"/>
          <w:szCs w:val="22"/>
          <w:lang w:val="de-DE"/>
        </w:rPr>
      </w:pPr>
    </w:p>
    <w:p w:rsidR="00D2642A" w:rsidRPr="00AF064B" w:rsidRDefault="00AF064B" w:rsidP="00AF064B">
      <w:pPr>
        <w:rPr>
          <w:szCs w:val="22"/>
          <w:lang w:val="de-DE"/>
        </w:rPr>
      </w:pPr>
      <w:r w:rsidRPr="00AF064B">
        <w:rPr>
          <w:rFonts w:eastAsia="Calibri" w:cs="Calibri"/>
          <w:szCs w:val="22"/>
          <w:lang w:val="de-DE"/>
        </w:rPr>
        <w:t>Seit Philips im Jahr 1953 die Beleuchtung für die Olympischen Spiele in Oslo übernahm, ist das Unternehmen auf dem Gebiet leistungsstarker Beleuchtung für Sportveranstaltungen weltweit führend, und seit dieser Zeit fanden keine größeren Sportveranstaltungen wie Welt- oder Europameisterschaften und auch keine Olympischen Spiele ohne Beteiligung von Philips statt. Heute stammt in mehr als 70 Prozent der Premier-League-Stadien und mehr als 55 Prozent der bedeutenden Fußballstadien auf der ganzen Welt ebenso wie auf verschiedenen Skipisten, auf Pferderennbahnen und entlang der Formel-1-Rennstrecke in Singapur die Beleuchtung von Philips Lighting</w:t>
      </w:r>
      <w:r w:rsidR="004E13BD" w:rsidRPr="00AF064B">
        <w:rPr>
          <w:rFonts w:cs="Calibri"/>
          <w:szCs w:val="22"/>
          <w:lang w:val="de-DE" w:eastAsia="en-US"/>
        </w:rPr>
        <w:t>.</w:t>
      </w:r>
    </w:p>
    <w:p w:rsidR="00D2642A" w:rsidRPr="00AF064B" w:rsidRDefault="00D2642A" w:rsidP="00D2642A">
      <w:pPr>
        <w:rPr>
          <w:szCs w:val="22"/>
          <w:lang w:val="de-DE"/>
        </w:rPr>
      </w:pPr>
    </w:p>
    <w:p w:rsidR="003A09C9" w:rsidRPr="009175B4" w:rsidRDefault="003A09C9" w:rsidP="003A09C9">
      <w:pPr>
        <w:rPr>
          <w:rFonts w:cs="Calibri"/>
          <w:b/>
          <w:szCs w:val="22"/>
          <w:lang w:val="de-DE"/>
        </w:rPr>
      </w:pPr>
      <w:r w:rsidRPr="009175B4">
        <w:rPr>
          <w:rFonts w:cs="Calibri"/>
          <w:b/>
          <w:szCs w:val="22"/>
          <w:lang w:val="de-DE"/>
        </w:rPr>
        <w:t>Weitere Informationen für Journalisten:</w:t>
      </w:r>
    </w:p>
    <w:p w:rsidR="003A09C9" w:rsidRPr="009175B4" w:rsidRDefault="003A09C9" w:rsidP="003A09C9">
      <w:pPr>
        <w:rPr>
          <w:rFonts w:cs="Calibri"/>
          <w:szCs w:val="22"/>
          <w:lang w:val="de-DE"/>
        </w:rPr>
      </w:pPr>
      <w:r w:rsidRPr="009175B4">
        <w:rPr>
          <w:rFonts w:cs="Calibri"/>
          <w:szCs w:val="22"/>
          <w:lang w:val="de-DE"/>
        </w:rPr>
        <w:t>Bernd Glaser</w:t>
      </w:r>
    </w:p>
    <w:p w:rsidR="003A09C9" w:rsidRPr="009175B4" w:rsidRDefault="003A09C9" w:rsidP="003A09C9">
      <w:pPr>
        <w:rPr>
          <w:rFonts w:cs="Calibri"/>
          <w:szCs w:val="22"/>
          <w:lang w:val="de-DE"/>
        </w:rPr>
      </w:pPr>
      <w:r w:rsidRPr="009175B4">
        <w:rPr>
          <w:rFonts w:cs="Calibri"/>
          <w:szCs w:val="22"/>
          <w:lang w:val="de-DE"/>
        </w:rPr>
        <w:t>Pressesprecher</w:t>
      </w:r>
    </w:p>
    <w:p w:rsidR="003A09C9" w:rsidRPr="009175B4" w:rsidRDefault="003A09C9" w:rsidP="003A09C9">
      <w:pPr>
        <w:pStyle w:val="Textkrper"/>
        <w:ind w:right="0"/>
        <w:rPr>
          <w:rFonts w:ascii="Calibri" w:hAnsi="Calibri"/>
          <w:bCs/>
          <w:sz w:val="22"/>
          <w:szCs w:val="22"/>
          <w:lang w:val="de-DE"/>
        </w:rPr>
      </w:pPr>
      <w:r w:rsidRPr="009175B4">
        <w:rPr>
          <w:rFonts w:ascii="Calibri" w:hAnsi="Calibri"/>
          <w:bCs/>
          <w:sz w:val="22"/>
          <w:szCs w:val="22"/>
          <w:lang w:val="de-DE"/>
        </w:rPr>
        <w:t>Philips Lighting GmbH, Röntgenstraße 22, 22335 Hamburg</w:t>
      </w:r>
    </w:p>
    <w:p w:rsidR="003A09C9" w:rsidRPr="009175B4" w:rsidRDefault="003A09C9" w:rsidP="003A09C9">
      <w:pPr>
        <w:rPr>
          <w:rFonts w:cs="Calibri"/>
          <w:szCs w:val="22"/>
          <w:lang w:val="de-DE"/>
        </w:rPr>
      </w:pPr>
      <w:r w:rsidRPr="009175B4">
        <w:rPr>
          <w:rFonts w:cs="Calibri"/>
          <w:szCs w:val="22"/>
          <w:lang w:val="de-DE"/>
        </w:rPr>
        <w:t>Tel: +49 (0) 160 96 32 71 83</w:t>
      </w:r>
    </w:p>
    <w:p w:rsidR="003A09C9" w:rsidRPr="009175B4" w:rsidRDefault="003A09C9" w:rsidP="003A09C9">
      <w:pPr>
        <w:rPr>
          <w:rStyle w:val="Hyperlink"/>
          <w:szCs w:val="22"/>
          <w:lang w:val="de-DE"/>
        </w:rPr>
      </w:pPr>
      <w:r w:rsidRPr="009175B4">
        <w:rPr>
          <w:szCs w:val="22"/>
          <w:lang w:val="de-DE"/>
        </w:rPr>
        <w:t xml:space="preserve">E-Mail: </w:t>
      </w:r>
      <w:hyperlink r:id="rId8" w:history="1">
        <w:r w:rsidRPr="009175B4">
          <w:rPr>
            <w:rStyle w:val="Hyperlink"/>
            <w:szCs w:val="22"/>
            <w:lang w:val="de-DE"/>
          </w:rPr>
          <w:t>bernd.glaser@philips.com</w:t>
        </w:r>
      </w:hyperlink>
    </w:p>
    <w:p w:rsidR="003A09C9" w:rsidRPr="009175B4" w:rsidRDefault="003A09C9" w:rsidP="003A09C9">
      <w:pPr>
        <w:rPr>
          <w:rFonts w:asciiTheme="minorHAnsi" w:hAnsiTheme="minorHAnsi" w:cstheme="minorHAnsi"/>
          <w:szCs w:val="22"/>
          <w:lang w:val="de-DE"/>
        </w:rPr>
      </w:pPr>
    </w:p>
    <w:p w:rsidR="003A09C9" w:rsidRPr="009175B4" w:rsidRDefault="003A09C9" w:rsidP="00A20607">
      <w:pPr>
        <w:rPr>
          <w:rFonts w:asciiTheme="minorHAnsi" w:hAnsiTheme="minorHAnsi" w:cstheme="minorHAnsi"/>
          <w:szCs w:val="22"/>
          <w:lang w:val="de-DE"/>
        </w:rPr>
      </w:pPr>
      <w:r w:rsidRPr="009175B4">
        <w:rPr>
          <w:rFonts w:asciiTheme="minorHAnsi" w:hAnsiTheme="minorHAnsi" w:cstheme="minorHAnsi"/>
          <w:b/>
          <w:bCs/>
          <w:iCs/>
          <w:szCs w:val="22"/>
          <w:lang w:val="de-DE"/>
        </w:rPr>
        <w:t>Über Philips Lighting</w:t>
      </w:r>
    </w:p>
    <w:p w:rsidR="00BA28D1" w:rsidRPr="009175B4" w:rsidRDefault="003A09C9" w:rsidP="00A20607">
      <w:pPr>
        <w:rPr>
          <w:lang w:val="de-DE"/>
        </w:rPr>
      </w:pPr>
      <w:r w:rsidRPr="00E208EF">
        <w:rPr>
          <w:rStyle w:val="p-body-copy-02"/>
          <w:szCs w:val="22"/>
          <w:lang w:val="de-DE"/>
        </w:rPr>
        <w:t>Philips Lighting (Euronext</w:t>
      </w:r>
      <w:r w:rsidR="009175B4" w:rsidRPr="00E208EF">
        <w:rPr>
          <w:rStyle w:val="p-body-copy-02"/>
          <w:szCs w:val="22"/>
          <w:lang w:val="de-DE"/>
        </w:rPr>
        <w:t>:</w:t>
      </w:r>
      <w:r w:rsidRPr="00E208EF">
        <w:rPr>
          <w:rStyle w:val="p-body-copy-02"/>
          <w:szCs w:val="22"/>
          <w:lang w:val="de-DE"/>
        </w:rPr>
        <w:t xml:space="preserve"> LIGHT) ist </w:t>
      </w:r>
      <w:r w:rsidR="009175B4" w:rsidRPr="00E208EF">
        <w:rPr>
          <w:rStyle w:val="p-body-copy-02"/>
          <w:szCs w:val="22"/>
          <w:lang w:val="de-DE"/>
        </w:rPr>
        <w:t>der</w:t>
      </w:r>
      <w:r w:rsidRPr="00E208EF">
        <w:rPr>
          <w:rStyle w:val="p-body-copy-02"/>
          <w:szCs w:val="22"/>
          <w:lang w:val="de-DE"/>
        </w:rPr>
        <w:t xml:space="preserve"> weltweit führende Anbieter von Beleuchtungsprodukten, -systemen sowie -services. Das Unternehmen kombiniert seine Erkenntnisse um die positive Wirkung von</w:t>
      </w:r>
      <w:r w:rsidRPr="009175B4">
        <w:rPr>
          <w:rStyle w:val="p-body-copy-02"/>
          <w:szCs w:val="22"/>
          <w:lang w:val="de-DE"/>
        </w:rPr>
        <w:t xml:space="preserve">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9175B4">
        <w:rPr>
          <w:rStyle w:val="p-body-copy-02"/>
          <w:bCs/>
          <w:szCs w:val="22"/>
          <w:lang w:val="de-DE"/>
        </w:rPr>
        <w:t>34.000 Mitarbeitern</w:t>
      </w:r>
      <w:r w:rsidRPr="009175B4">
        <w:rPr>
          <w:rStyle w:val="p-body-copy-02"/>
          <w:szCs w:val="22"/>
          <w:lang w:val="de-DE"/>
        </w:rPr>
        <w:t xml:space="preserve"> in mehr als 70 Ländern einen Umsatz von </w:t>
      </w:r>
      <w:r w:rsidRPr="009175B4">
        <w:rPr>
          <w:rStyle w:val="p-body-copy-02"/>
          <w:bCs/>
          <w:szCs w:val="22"/>
          <w:lang w:val="de-DE"/>
        </w:rPr>
        <w:t>7,1 Milliarden Euro</w:t>
      </w:r>
      <w:r w:rsidRPr="009175B4">
        <w:rPr>
          <w:rStyle w:val="p-body-copy-02"/>
          <w:szCs w:val="22"/>
          <w:lang w:val="de-DE"/>
        </w:rPr>
        <w:t xml:space="preserve"> erzielt. Neuigkeiten veröffentlicht Philips Lighting auf </w:t>
      </w:r>
      <w:hyperlink r:id="rId9" w:history="1">
        <w:r w:rsidR="00282B40" w:rsidRPr="009175B4">
          <w:rPr>
            <w:rStyle w:val="Hyperlink"/>
            <w:lang w:val="de-DE"/>
          </w:rPr>
          <w:t>www.philips.de/lightingnewsroom</w:t>
        </w:r>
      </w:hyperlink>
      <w:r w:rsidR="00F068B5" w:rsidRPr="009175B4">
        <w:rPr>
          <w:rStyle w:val="p-body-copy-02"/>
          <w:lang w:val="de-DE"/>
        </w:rPr>
        <w:t xml:space="preserve"> </w:t>
      </w:r>
    </w:p>
    <w:sectPr w:rsidR="00BA28D1" w:rsidRPr="009175B4" w:rsidSect="004A2B56">
      <w:headerReference w:type="default" r:id="rId10"/>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A4C12"/>
    <w:rsid w:val="00282B40"/>
    <w:rsid w:val="002C5E07"/>
    <w:rsid w:val="00312CD9"/>
    <w:rsid w:val="0036650F"/>
    <w:rsid w:val="003736F7"/>
    <w:rsid w:val="003A09C9"/>
    <w:rsid w:val="004A2B56"/>
    <w:rsid w:val="004E13BD"/>
    <w:rsid w:val="00626156"/>
    <w:rsid w:val="00630B37"/>
    <w:rsid w:val="006F7227"/>
    <w:rsid w:val="007D131F"/>
    <w:rsid w:val="008E10CE"/>
    <w:rsid w:val="00914CB4"/>
    <w:rsid w:val="009175B4"/>
    <w:rsid w:val="00920807"/>
    <w:rsid w:val="00A20607"/>
    <w:rsid w:val="00AB1CB4"/>
    <w:rsid w:val="00AB50B2"/>
    <w:rsid w:val="00AF064B"/>
    <w:rsid w:val="00B25B51"/>
    <w:rsid w:val="00BA28D1"/>
    <w:rsid w:val="00BD44C1"/>
    <w:rsid w:val="00D2642A"/>
    <w:rsid w:val="00E208EF"/>
    <w:rsid w:val="00E60A2F"/>
    <w:rsid w:val="00EE047D"/>
    <w:rsid w:val="00F0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Kommentarzeichen">
    <w:name w:val="annotation reference"/>
    <w:basedOn w:val="Absatz-Standardschriftart"/>
    <w:uiPriority w:val="99"/>
    <w:semiHidden/>
    <w:unhideWhenUsed/>
    <w:rsid w:val="00914CB4"/>
    <w:rPr>
      <w:sz w:val="16"/>
      <w:szCs w:val="16"/>
    </w:rPr>
  </w:style>
  <w:style w:type="paragraph" w:styleId="Kommentartext">
    <w:name w:val="annotation text"/>
    <w:basedOn w:val="Standard"/>
    <w:link w:val="KommentartextZchn"/>
    <w:uiPriority w:val="99"/>
    <w:semiHidden/>
    <w:unhideWhenUsed/>
    <w:rsid w:val="00914CB4"/>
    <w:rPr>
      <w:sz w:val="20"/>
    </w:rPr>
  </w:style>
  <w:style w:type="character" w:customStyle="1" w:styleId="KommentartextZchn">
    <w:name w:val="Kommentartext Zchn"/>
    <w:basedOn w:val="Absatz-Standardschriftart"/>
    <w:link w:val="Kommentartext"/>
    <w:uiPriority w:val="99"/>
    <w:semiHidden/>
    <w:rsid w:val="00914CB4"/>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14CB4"/>
    <w:rPr>
      <w:b/>
      <w:bCs/>
    </w:rPr>
  </w:style>
  <w:style w:type="character" w:customStyle="1" w:styleId="KommentarthemaZchn">
    <w:name w:val="Kommentarthema Zchn"/>
    <w:basedOn w:val="KommentartextZchn"/>
    <w:link w:val="Kommentarthema"/>
    <w:uiPriority w:val="99"/>
    <w:semiHidden/>
    <w:rsid w:val="00914CB4"/>
    <w:rPr>
      <w:rFonts w:ascii="Calibri" w:eastAsia="Times New Roman" w:hAnsi="Calibri"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Kommentarzeichen">
    <w:name w:val="annotation reference"/>
    <w:basedOn w:val="Absatz-Standardschriftart"/>
    <w:uiPriority w:val="99"/>
    <w:semiHidden/>
    <w:unhideWhenUsed/>
    <w:rsid w:val="00914CB4"/>
    <w:rPr>
      <w:sz w:val="16"/>
      <w:szCs w:val="16"/>
    </w:rPr>
  </w:style>
  <w:style w:type="paragraph" w:styleId="Kommentartext">
    <w:name w:val="annotation text"/>
    <w:basedOn w:val="Standard"/>
    <w:link w:val="KommentartextZchn"/>
    <w:uiPriority w:val="99"/>
    <w:semiHidden/>
    <w:unhideWhenUsed/>
    <w:rsid w:val="00914CB4"/>
    <w:rPr>
      <w:sz w:val="20"/>
    </w:rPr>
  </w:style>
  <w:style w:type="character" w:customStyle="1" w:styleId="KommentartextZchn">
    <w:name w:val="Kommentartext Zchn"/>
    <w:basedOn w:val="Absatz-Standardschriftart"/>
    <w:link w:val="Kommentartext"/>
    <w:uiPriority w:val="99"/>
    <w:semiHidden/>
    <w:rsid w:val="00914CB4"/>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14CB4"/>
    <w:rPr>
      <w:b/>
      <w:bCs/>
    </w:rPr>
  </w:style>
  <w:style w:type="character" w:customStyle="1" w:styleId="KommentarthemaZchn">
    <w:name w:val="Kommentarthema Zchn"/>
    <w:basedOn w:val="KommentartextZchn"/>
    <w:link w:val="Kommentarthema"/>
    <w:uiPriority w:val="99"/>
    <w:semiHidden/>
    <w:rsid w:val="00914CB4"/>
    <w:rPr>
      <w:rFonts w:ascii="Calibri" w:eastAsia="Times New Roman"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d.glaser@philip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ips.de/lighting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4C44-52E6-423B-A1DD-A4360EB6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4940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Jo Seesselberg</cp:lastModifiedBy>
  <cp:revision>6</cp:revision>
  <dcterms:created xsi:type="dcterms:W3CDTF">2017-11-28T10:02:00Z</dcterms:created>
  <dcterms:modified xsi:type="dcterms:W3CDTF">2017-12-12T09:51:00Z</dcterms:modified>
</cp:coreProperties>
</file>