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Start w:id="1" w:name="_GoBack"/>
      <w:bookmarkEnd w:id="0"/>
      <w:bookmarkEnd w:id="1"/>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2A7E038B" w14:textId="5B7D664A" w:rsidR="005075CF" w:rsidRPr="00B96D0E" w:rsidRDefault="00B20E26" w:rsidP="005075CF">
      <w:pPr>
        <w:rPr>
          <w:rFonts w:cs="Calibri"/>
          <w:szCs w:val="24"/>
          <w:lang w:val="de-DE"/>
        </w:rPr>
      </w:pPr>
      <w:r>
        <w:rPr>
          <w:lang w:val="de-DE"/>
        </w:rPr>
        <w:t>März</w:t>
      </w:r>
      <w:r w:rsidR="00B942E0" w:rsidRPr="00B96D0E">
        <w:rPr>
          <w:lang w:val="de-DE"/>
        </w:rPr>
        <w:t xml:space="preserve"> 2017</w:t>
      </w:r>
    </w:p>
    <w:p w14:paraId="7F6685A4" w14:textId="77777777" w:rsidR="00526B15" w:rsidRPr="003B7508" w:rsidRDefault="00526B15" w:rsidP="00526B15">
      <w:pPr>
        <w:pStyle w:val="NurText"/>
        <w:rPr>
          <w:lang w:val="de-DE"/>
        </w:rPr>
      </w:pPr>
    </w:p>
    <w:p w14:paraId="42F1F778" w14:textId="77777777" w:rsidR="00585F55" w:rsidRPr="00221D1D" w:rsidRDefault="00585F55" w:rsidP="00307BFC">
      <w:pPr>
        <w:rPr>
          <w:b/>
          <w:sz w:val="24"/>
          <w:szCs w:val="24"/>
          <w:lang w:val="de-DE"/>
        </w:rPr>
      </w:pPr>
      <w:r w:rsidRPr="00221D1D">
        <w:rPr>
          <w:b/>
          <w:sz w:val="24"/>
          <w:szCs w:val="24"/>
          <w:lang w:val="de-DE"/>
        </w:rPr>
        <w:t>Studie zur Außenbeleuchtung: Wie Licht Häuser für Käufer attraktiver macht</w:t>
      </w:r>
    </w:p>
    <w:p w14:paraId="57AF8A11" w14:textId="77777777" w:rsidR="00585F55" w:rsidRPr="001914B9" w:rsidRDefault="00585F55" w:rsidP="00307BFC">
      <w:pPr>
        <w:rPr>
          <w:rFonts w:asciiTheme="minorHAnsi" w:hAnsiTheme="minorHAnsi"/>
          <w:szCs w:val="22"/>
          <w:lang w:val="de-DE"/>
        </w:rPr>
      </w:pPr>
    </w:p>
    <w:p w14:paraId="045085FF" w14:textId="2CD4F066" w:rsidR="00585F55" w:rsidRPr="00585F55" w:rsidRDefault="00585F55" w:rsidP="00307BFC">
      <w:pPr>
        <w:pStyle w:val="Listenabsatz"/>
        <w:numPr>
          <w:ilvl w:val="0"/>
          <w:numId w:val="4"/>
        </w:numPr>
        <w:ind w:left="360"/>
        <w:rPr>
          <w:rFonts w:asciiTheme="minorHAnsi" w:hAnsiTheme="minorHAnsi"/>
          <w:szCs w:val="22"/>
          <w:lang w:val="de-DE"/>
        </w:rPr>
      </w:pPr>
      <w:r w:rsidRPr="00585F55">
        <w:rPr>
          <w:lang w:val="de-DE"/>
        </w:rPr>
        <w:t xml:space="preserve">Jeder zweite Europäer bevorzugt beim Hauskauf Objekte mit Licht an </w:t>
      </w:r>
      <w:r w:rsidR="00221D1D">
        <w:rPr>
          <w:lang w:val="de-DE"/>
        </w:rPr>
        <w:t xml:space="preserve">der </w:t>
      </w:r>
      <w:r w:rsidRPr="00585F55">
        <w:rPr>
          <w:lang w:val="de-DE"/>
        </w:rPr>
        <w:t>Fassade oder im Garten.</w:t>
      </w:r>
    </w:p>
    <w:p w14:paraId="2031369E" w14:textId="1808018F" w:rsidR="00585F55" w:rsidRPr="00585F55" w:rsidRDefault="00585F55" w:rsidP="00307BFC">
      <w:pPr>
        <w:pStyle w:val="Listenabsatz"/>
        <w:numPr>
          <w:ilvl w:val="0"/>
          <w:numId w:val="4"/>
        </w:numPr>
        <w:ind w:left="360"/>
        <w:rPr>
          <w:rFonts w:asciiTheme="minorHAnsi" w:hAnsiTheme="minorHAnsi"/>
          <w:szCs w:val="22"/>
          <w:lang w:val="de-DE"/>
        </w:rPr>
      </w:pPr>
      <w:r w:rsidRPr="00585F55">
        <w:rPr>
          <w:rFonts w:asciiTheme="minorHAnsi" w:hAnsiTheme="minorHAnsi"/>
          <w:szCs w:val="22"/>
          <w:lang w:val="de-DE"/>
        </w:rPr>
        <w:t>71</w:t>
      </w:r>
      <w:r w:rsidR="00221D1D">
        <w:rPr>
          <w:rFonts w:asciiTheme="minorHAnsi" w:hAnsiTheme="minorHAnsi"/>
          <w:szCs w:val="22"/>
          <w:lang w:val="de-DE"/>
        </w:rPr>
        <w:t xml:space="preserve"> </w:t>
      </w:r>
      <w:r w:rsidRPr="00585F55">
        <w:rPr>
          <w:rFonts w:asciiTheme="minorHAnsi" w:hAnsiTheme="minorHAnsi"/>
          <w:szCs w:val="22"/>
          <w:lang w:val="de-DE"/>
        </w:rPr>
        <w:t xml:space="preserve">% empfinden Licht im Garten als wichtig für die Gesamtatmosphäre von Häusern. </w:t>
      </w:r>
    </w:p>
    <w:p w14:paraId="1B0920F8" w14:textId="5230F08D" w:rsidR="00585F55" w:rsidRPr="00585F55" w:rsidRDefault="00585F55" w:rsidP="00307BFC">
      <w:pPr>
        <w:pStyle w:val="Listenabsatz"/>
        <w:numPr>
          <w:ilvl w:val="0"/>
          <w:numId w:val="4"/>
        </w:numPr>
        <w:ind w:left="360"/>
        <w:rPr>
          <w:rFonts w:asciiTheme="minorHAnsi" w:hAnsiTheme="minorHAnsi"/>
          <w:szCs w:val="22"/>
          <w:lang w:val="de-DE"/>
        </w:rPr>
      </w:pPr>
      <w:r w:rsidRPr="00585F55">
        <w:rPr>
          <w:rFonts w:asciiTheme="minorHAnsi" w:hAnsiTheme="minorHAnsi"/>
          <w:szCs w:val="22"/>
          <w:lang w:val="de-DE"/>
        </w:rPr>
        <w:t>Spanier (76 %) legen den größten Wert auf eine Außenbeleuchtung</w:t>
      </w:r>
      <w:r w:rsidR="00221D1D">
        <w:rPr>
          <w:rFonts w:asciiTheme="minorHAnsi" w:hAnsiTheme="minorHAnsi"/>
          <w:szCs w:val="22"/>
          <w:lang w:val="de-DE"/>
        </w:rPr>
        <w:t>,</w:t>
      </w:r>
      <w:r w:rsidRPr="00585F55">
        <w:rPr>
          <w:rFonts w:asciiTheme="minorHAnsi" w:hAnsiTheme="minorHAnsi"/>
          <w:szCs w:val="22"/>
          <w:lang w:val="de-DE"/>
        </w:rPr>
        <w:t xml:space="preserve"> Briten (36 %) weit weniger</w:t>
      </w:r>
      <w:r w:rsidR="00221D1D">
        <w:rPr>
          <w:rFonts w:asciiTheme="minorHAnsi" w:hAnsiTheme="minorHAnsi"/>
          <w:szCs w:val="22"/>
          <w:lang w:val="de-DE"/>
        </w:rPr>
        <w:t>.</w:t>
      </w:r>
    </w:p>
    <w:p w14:paraId="48428E34" w14:textId="77777777" w:rsidR="00585F55" w:rsidRPr="001914B9" w:rsidRDefault="00585F55" w:rsidP="00307BFC">
      <w:pPr>
        <w:rPr>
          <w:rFonts w:asciiTheme="minorHAnsi" w:hAnsiTheme="minorHAnsi"/>
          <w:szCs w:val="22"/>
          <w:lang w:val="de-DE"/>
        </w:rPr>
      </w:pPr>
    </w:p>
    <w:p w14:paraId="3C563F00" w14:textId="799844BD" w:rsidR="00585F55" w:rsidRPr="00585F55" w:rsidRDefault="00307BFC" w:rsidP="00307BFC">
      <w:pPr>
        <w:rPr>
          <w:lang w:val="de-DE"/>
        </w:rPr>
      </w:pPr>
      <w:r w:rsidRPr="007515C8">
        <w:rPr>
          <w:rFonts w:asciiTheme="minorHAnsi" w:hAnsiTheme="minorHAnsi"/>
          <w:b/>
          <w:szCs w:val="24"/>
          <w:lang w:val="de-DE"/>
        </w:rPr>
        <w:t>Hamburg –</w:t>
      </w:r>
      <w:r w:rsidRPr="007515C8">
        <w:rPr>
          <w:lang w:val="de-DE"/>
        </w:rPr>
        <w:t xml:space="preserve"> </w:t>
      </w:r>
      <w:r w:rsidR="00585F55" w:rsidRPr="00585F55">
        <w:rPr>
          <w:lang w:val="de-DE"/>
        </w:rPr>
        <w:t>Beleuchtete Außenbereiche haben einen wesentlichen Einfluss auf die Attraktivität von Wohnhäusern. Jedem zweiten Europäer ist das wichtig beim Hauskauf. Damit beeinflusst die Außenbeleuchtung Kaufentscheidungen stärker als die Art der Fenster, des Dachs oder der Anstrich der Fassade.</w:t>
      </w:r>
      <w:r w:rsidR="00585F55" w:rsidRPr="00585F55">
        <w:rPr>
          <w:rFonts w:asciiTheme="minorHAnsi" w:hAnsiTheme="minorHAnsi"/>
          <w:szCs w:val="22"/>
          <w:lang w:val="de-DE"/>
        </w:rPr>
        <w:t xml:space="preserve"> </w:t>
      </w:r>
      <w:r w:rsidR="00585F55" w:rsidRPr="00585F55">
        <w:rPr>
          <w:lang w:val="de-DE"/>
        </w:rPr>
        <w:t>Zugleich trägt ein illuminierter Garten</w:t>
      </w:r>
      <w:r w:rsidR="00585F55" w:rsidRPr="00585F55">
        <w:rPr>
          <w:rFonts w:asciiTheme="minorHAnsi" w:hAnsiTheme="minorHAnsi"/>
          <w:szCs w:val="22"/>
          <w:lang w:val="de-DE"/>
        </w:rPr>
        <w:t xml:space="preserve"> </w:t>
      </w:r>
      <w:r w:rsidR="00585F55" w:rsidRPr="00585F55">
        <w:rPr>
          <w:lang w:val="de-DE"/>
        </w:rPr>
        <w:t xml:space="preserve">für 71 </w:t>
      </w:r>
      <w:r w:rsidR="00221D1D">
        <w:rPr>
          <w:lang w:val="de-DE"/>
        </w:rPr>
        <w:t>%</w:t>
      </w:r>
      <w:r w:rsidR="00585F55" w:rsidRPr="00585F55">
        <w:rPr>
          <w:lang w:val="de-DE"/>
        </w:rPr>
        <w:t xml:space="preserve"> der Befragten zur </w:t>
      </w:r>
      <w:r w:rsidR="00585F55" w:rsidRPr="00585F55">
        <w:rPr>
          <w:rFonts w:asciiTheme="minorHAnsi" w:hAnsiTheme="minorHAnsi"/>
          <w:szCs w:val="22"/>
          <w:lang w:val="de-DE"/>
        </w:rPr>
        <w:t xml:space="preserve">Gesamtatmosphäre eines Hauses bei. Aus Sicherheitsgründen legen vor allem ältere Menschen Wert auf Licht auf dem Grundstück. Das ergibt eine repräsentative Umfrage von </w:t>
      </w:r>
      <w:r w:rsidR="00585F55" w:rsidRPr="00585F55">
        <w:rPr>
          <w:rFonts w:asciiTheme="minorHAnsi" w:hAnsiTheme="minorHAnsi"/>
          <w:iCs/>
          <w:szCs w:val="22"/>
          <w:lang w:val="de-DE"/>
        </w:rPr>
        <w:t xml:space="preserve">YouGov Plc unter 7.000 Befragten in </w:t>
      </w:r>
      <w:r w:rsidR="00585F55" w:rsidRPr="00585F55">
        <w:rPr>
          <w:rFonts w:asciiTheme="minorHAnsi" w:hAnsiTheme="minorHAnsi"/>
          <w:szCs w:val="22"/>
          <w:lang w:val="de-DE"/>
        </w:rPr>
        <w:t xml:space="preserve">Deutschland, Großbritannien, Frankreich, Niederlande und Spanien </w:t>
      </w:r>
      <w:r w:rsidR="00585F55" w:rsidRPr="00585F55">
        <w:rPr>
          <w:rFonts w:asciiTheme="minorHAnsi" w:hAnsiTheme="minorHAnsi"/>
          <w:iCs/>
          <w:szCs w:val="22"/>
          <w:lang w:val="de-DE"/>
        </w:rPr>
        <w:t>im Auftrag von Licht-Weltmarktführer Philips Lighting</w:t>
      </w:r>
      <w:r w:rsidR="00585F55" w:rsidRPr="00585F55">
        <w:rPr>
          <w:rFonts w:asciiTheme="minorHAnsi" w:hAnsiTheme="minorHAnsi"/>
          <w:szCs w:val="22"/>
          <w:lang w:val="de-DE"/>
        </w:rPr>
        <w:t>.</w:t>
      </w:r>
    </w:p>
    <w:p w14:paraId="53BBC23C" w14:textId="77777777" w:rsidR="00585F55" w:rsidRPr="00585F55" w:rsidRDefault="00585F55" w:rsidP="00307BFC">
      <w:pPr>
        <w:rPr>
          <w:lang w:val="de-DE"/>
        </w:rPr>
      </w:pPr>
    </w:p>
    <w:p w14:paraId="65174C77" w14:textId="77777777" w:rsidR="00585F55" w:rsidRDefault="00585F55" w:rsidP="00307BFC">
      <w:pPr>
        <w:rPr>
          <w:b/>
          <w:lang w:val="de-DE"/>
        </w:rPr>
      </w:pPr>
      <w:r w:rsidRPr="00585F55">
        <w:rPr>
          <w:b/>
          <w:lang w:val="de-DE"/>
        </w:rPr>
        <w:t>Ins rechte Licht gerückt</w:t>
      </w:r>
    </w:p>
    <w:p w14:paraId="49DD54CF" w14:textId="4720C464" w:rsidR="00585F55" w:rsidRPr="00585F55" w:rsidRDefault="00585F55" w:rsidP="00307BFC">
      <w:pPr>
        <w:rPr>
          <w:rFonts w:asciiTheme="minorHAnsi" w:hAnsiTheme="minorHAnsi"/>
          <w:szCs w:val="22"/>
          <w:lang w:val="de-DE"/>
        </w:rPr>
      </w:pPr>
      <w:r w:rsidRPr="00585F55">
        <w:rPr>
          <w:rFonts w:asciiTheme="minorHAnsi" w:hAnsiTheme="minorHAnsi"/>
          <w:noProof/>
          <w:szCs w:val="22"/>
          <w:lang w:val="de-DE" w:eastAsia="de-DE" w:bidi="ar-SA"/>
        </w:rPr>
        <w:drawing>
          <wp:anchor distT="0" distB="0" distL="114300" distR="114300" simplePos="0" relativeHeight="251660288" behindDoc="0" locked="0" layoutInCell="1" allowOverlap="1" wp14:anchorId="30BA1B95" wp14:editId="6EC0DFE5">
            <wp:simplePos x="0" y="0"/>
            <wp:positionH relativeFrom="column">
              <wp:posOffset>3175</wp:posOffset>
            </wp:positionH>
            <wp:positionV relativeFrom="paragraph">
              <wp:posOffset>570865</wp:posOffset>
            </wp:positionV>
            <wp:extent cx="3028950" cy="2016760"/>
            <wp:effectExtent l="0" t="0" r="0" b="2540"/>
            <wp:wrapSquare wrapText="bothSides"/>
            <wp:docPr id="5" name="Picture 5" descr="M:\Clients\Philips\Global\2016\LIGHTING\LED\TRLIE outdoor\Toolkit\Images\Lo-res\Outdoor lums_TRLIE_Image 1h_Party outside_Arbour without sensor_ON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lients\Philips\Global\2016\LIGHTING\LED\TRLIE outdoor\Toolkit\Images\Lo-res\Outdoor lums_TRLIE_Image 1h_Party outside_Arbour without sensor_ON_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F55">
        <w:rPr>
          <w:lang w:val="de-DE"/>
        </w:rPr>
        <w:t xml:space="preserve">Die Studie </w:t>
      </w:r>
      <w:r w:rsidRPr="00585F55">
        <w:rPr>
          <w:rFonts w:asciiTheme="minorHAnsi" w:hAnsiTheme="minorHAnsi"/>
          <w:szCs w:val="22"/>
          <w:lang w:val="de-DE"/>
        </w:rPr>
        <w:t>belegt, wie wichtig illuminierte Außenbereiche nicht nur für das Außenambiente sind, sondern auch für die Stimmung innerhalb des Hauses: Zwei Drittel (65</w:t>
      </w:r>
      <w:r w:rsidR="00221D1D">
        <w:rPr>
          <w:rFonts w:asciiTheme="minorHAnsi" w:hAnsiTheme="minorHAnsi"/>
          <w:szCs w:val="22"/>
          <w:lang w:val="de-DE"/>
        </w:rPr>
        <w:t xml:space="preserve"> </w:t>
      </w:r>
      <w:r w:rsidRPr="00585F55">
        <w:rPr>
          <w:rFonts w:asciiTheme="minorHAnsi" w:hAnsiTheme="minorHAnsi"/>
          <w:szCs w:val="22"/>
          <w:lang w:val="de-DE"/>
        </w:rPr>
        <w:t>%) der Studienteilnehmer g</w:t>
      </w:r>
      <w:r w:rsidR="00221D1D">
        <w:rPr>
          <w:rFonts w:asciiTheme="minorHAnsi" w:hAnsiTheme="minorHAnsi"/>
          <w:szCs w:val="22"/>
          <w:lang w:val="de-DE"/>
        </w:rPr>
        <w:t>eben</w:t>
      </w:r>
      <w:r w:rsidRPr="00585F55">
        <w:rPr>
          <w:rFonts w:asciiTheme="minorHAnsi" w:hAnsiTheme="minorHAnsi"/>
          <w:szCs w:val="22"/>
          <w:lang w:val="de-DE"/>
        </w:rPr>
        <w:t xml:space="preserve"> an, dass ein illuminierter Garten die Gesamtatmosphäre von Häusern aufwertet, auch beim Blick von drinnen nach draußen. Im internationalen Vergleich legen </w:t>
      </w:r>
      <w:r w:rsidR="00221D1D">
        <w:rPr>
          <w:rFonts w:asciiTheme="minorHAnsi" w:hAnsiTheme="minorHAnsi"/>
          <w:szCs w:val="22"/>
          <w:lang w:val="de-DE"/>
        </w:rPr>
        <w:t xml:space="preserve">Spanier (80 </w:t>
      </w:r>
      <w:r w:rsidRPr="00585F55">
        <w:rPr>
          <w:rFonts w:asciiTheme="minorHAnsi" w:hAnsiTheme="minorHAnsi"/>
          <w:szCs w:val="22"/>
          <w:lang w:val="de-DE"/>
        </w:rPr>
        <w:t xml:space="preserve">%) den größten Wert auf illuminierte Außenbereiche. Ihnen </w:t>
      </w:r>
      <w:r w:rsidRPr="00585F55">
        <w:rPr>
          <w:rFonts w:asciiTheme="minorHAnsi" w:hAnsiTheme="minorHAnsi"/>
          <w:szCs w:val="22"/>
          <w:lang w:val="de-DE"/>
        </w:rPr>
        <w:lastRenderedPageBreak/>
        <w:t>ist es besonders wichtig, das Umfeld ihrer Häuser zu gestalten und optisch zu erweitern. Hingegen befindet in Europas Norden nur knapp jeder zweite Brite (43</w:t>
      </w:r>
      <w:r w:rsidR="00221D1D">
        <w:rPr>
          <w:rFonts w:asciiTheme="minorHAnsi" w:hAnsiTheme="minorHAnsi"/>
          <w:szCs w:val="22"/>
          <w:lang w:val="de-DE"/>
        </w:rPr>
        <w:t xml:space="preserve"> </w:t>
      </w:r>
      <w:r w:rsidRPr="00585F55">
        <w:rPr>
          <w:rFonts w:asciiTheme="minorHAnsi" w:hAnsiTheme="minorHAnsi"/>
          <w:szCs w:val="22"/>
          <w:lang w:val="de-DE"/>
        </w:rPr>
        <w:t xml:space="preserve">%) Licht im Außenumfeld als wichtig für das Ambiente. </w:t>
      </w:r>
    </w:p>
    <w:p w14:paraId="4B0B7266" w14:textId="77777777" w:rsidR="00585F55" w:rsidRPr="00585F55" w:rsidRDefault="00585F55" w:rsidP="00307BFC">
      <w:pPr>
        <w:rPr>
          <w:rFonts w:asciiTheme="minorHAnsi" w:hAnsiTheme="minorHAnsi"/>
          <w:b/>
          <w:szCs w:val="22"/>
          <w:lang w:val="de-DE"/>
        </w:rPr>
      </w:pPr>
    </w:p>
    <w:p w14:paraId="11308DCC" w14:textId="77777777" w:rsidR="00585F55" w:rsidRPr="00585F55" w:rsidRDefault="00585F55" w:rsidP="00307BFC">
      <w:pPr>
        <w:rPr>
          <w:rFonts w:asciiTheme="minorHAnsi" w:hAnsiTheme="minorHAnsi"/>
          <w:szCs w:val="22"/>
          <w:lang w:val="de-DE"/>
        </w:rPr>
      </w:pPr>
      <w:r w:rsidRPr="00585F55">
        <w:rPr>
          <w:rFonts w:asciiTheme="minorHAnsi" w:hAnsiTheme="minorHAnsi"/>
          <w:b/>
          <w:szCs w:val="22"/>
          <w:lang w:val="de-DE"/>
        </w:rPr>
        <w:t>„</w:t>
      </w:r>
      <w:r w:rsidRPr="00585F55">
        <w:rPr>
          <w:rFonts w:asciiTheme="minorHAnsi" w:hAnsiTheme="minorHAnsi"/>
          <w:szCs w:val="22"/>
          <w:lang w:val="de-DE"/>
        </w:rPr>
        <w:t xml:space="preserve">Die Wirkung einer ansprechenden Außenbeleuchtung auf Wohnhäuser und Grundstücke wird zuweilen unterschätzt. Dabei ist sie wesentlich für den ersten Eindruck und kann attraktive Aspekte an Fassaden, Eingängen oder im Garten hervorheben. Durch Fenster und Terrassentüren kann sie den Blick und das Raumempfinden stimmungsvoll erweitern“, erläutert Susanne Behrens, Commercial Director bei Philips Lighting. </w:t>
      </w:r>
    </w:p>
    <w:p w14:paraId="0EBC7D51" w14:textId="77777777" w:rsidR="00585F55" w:rsidRPr="001914B9" w:rsidRDefault="00585F55" w:rsidP="00307BFC">
      <w:pPr>
        <w:rPr>
          <w:rFonts w:asciiTheme="minorHAnsi" w:hAnsiTheme="minorHAnsi"/>
          <w:szCs w:val="22"/>
          <w:lang w:val="de-DE"/>
        </w:rPr>
      </w:pPr>
    </w:p>
    <w:p w14:paraId="7020345C" w14:textId="5BBDE127" w:rsidR="00585F55" w:rsidRPr="00585F55" w:rsidRDefault="00585F55" w:rsidP="00307BFC">
      <w:pPr>
        <w:rPr>
          <w:rFonts w:asciiTheme="minorHAnsi" w:hAnsiTheme="minorHAnsi"/>
          <w:strike/>
          <w:szCs w:val="22"/>
          <w:lang w:val="de-DE"/>
        </w:rPr>
      </w:pPr>
      <w:r w:rsidRPr="00585F55">
        <w:rPr>
          <w:rFonts w:asciiTheme="minorHAnsi" w:hAnsiTheme="minorHAnsi"/>
          <w:szCs w:val="22"/>
          <w:lang w:val="de-DE"/>
        </w:rPr>
        <w:t xml:space="preserve">Beim Kauf sollte man hochwertige und dekorative LED-Leuchten erwägen. Die Investition zahlt sich aus: LEDs sparen bis zu 80 </w:t>
      </w:r>
      <w:r w:rsidR="00221D1D">
        <w:rPr>
          <w:rFonts w:asciiTheme="minorHAnsi" w:hAnsiTheme="minorHAnsi"/>
          <w:szCs w:val="22"/>
          <w:lang w:val="de-DE"/>
        </w:rPr>
        <w:t>%</w:t>
      </w:r>
      <w:r w:rsidRPr="00585F55">
        <w:rPr>
          <w:rFonts w:asciiTheme="minorHAnsi" w:hAnsiTheme="minorHAnsi"/>
          <w:szCs w:val="22"/>
          <w:lang w:val="de-DE"/>
        </w:rPr>
        <w:t xml:space="preserve"> Energie, sind robust und langlebig. Zudem gibt es LED-Leuchten sowohl in klassischen Retro- als auch eher schlanken und modernen Designs.</w:t>
      </w:r>
    </w:p>
    <w:p w14:paraId="1E85A682" w14:textId="77777777" w:rsidR="00585F55" w:rsidRPr="001914B9" w:rsidRDefault="00585F55" w:rsidP="00307BFC">
      <w:pPr>
        <w:rPr>
          <w:rFonts w:asciiTheme="minorHAnsi" w:hAnsiTheme="minorHAnsi"/>
          <w:szCs w:val="22"/>
          <w:lang w:val="de-DE"/>
        </w:rPr>
      </w:pPr>
    </w:p>
    <w:p w14:paraId="08519116" w14:textId="77777777" w:rsidR="00585F55" w:rsidRPr="00585F55" w:rsidRDefault="00585F55" w:rsidP="00307BFC">
      <w:pPr>
        <w:rPr>
          <w:rFonts w:asciiTheme="minorHAnsi" w:hAnsiTheme="minorHAnsi"/>
          <w:b/>
          <w:szCs w:val="22"/>
          <w:lang w:val="de-DE"/>
        </w:rPr>
      </w:pPr>
      <w:r w:rsidRPr="00585F55">
        <w:rPr>
          <w:rFonts w:asciiTheme="minorHAnsi" w:hAnsiTheme="minorHAnsi"/>
          <w:b/>
          <w:szCs w:val="22"/>
          <w:lang w:val="de-DE"/>
        </w:rPr>
        <w:t xml:space="preserve">Sicherheit und Orientierung nach Einbruch der Dämmerung </w:t>
      </w:r>
    </w:p>
    <w:p w14:paraId="3C37B3E3" w14:textId="06303F44" w:rsidR="00585F55" w:rsidRPr="00585F55" w:rsidRDefault="00585F55" w:rsidP="00307BFC">
      <w:pPr>
        <w:rPr>
          <w:rFonts w:asciiTheme="minorHAnsi" w:hAnsiTheme="minorHAnsi"/>
          <w:szCs w:val="22"/>
          <w:lang w:val="de-DE"/>
        </w:rPr>
      </w:pPr>
      <w:r w:rsidRPr="00585F55">
        <w:rPr>
          <w:rFonts w:asciiTheme="minorHAnsi" w:hAnsiTheme="minorHAnsi"/>
          <w:szCs w:val="22"/>
          <w:lang w:val="de-DE"/>
        </w:rPr>
        <w:t>Auch zur Sicherheit trägt Licht wesentlich bei. 73</w:t>
      </w:r>
      <w:r w:rsidR="00221D1D">
        <w:rPr>
          <w:rFonts w:asciiTheme="minorHAnsi" w:hAnsiTheme="minorHAnsi"/>
          <w:szCs w:val="22"/>
          <w:lang w:val="de-DE"/>
        </w:rPr>
        <w:t xml:space="preserve"> % </w:t>
      </w:r>
      <w:r w:rsidRPr="00585F55">
        <w:rPr>
          <w:rFonts w:asciiTheme="minorHAnsi" w:hAnsiTheme="minorHAnsi"/>
          <w:szCs w:val="22"/>
          <w:lang w:val="de-DE"/>
        </w:rPr>
        <w:t>der Europäer empfinden Häuser mit beleuchteten Vorgärten als sicherer. Besonders wichtig ist das der älteren Generationen ab dem 55. Lebensjahr. Doch auch für 69</w:t>
      </w:r>
      <w:r w:rsidR="00221D1D">
        <w:rPr>
          <w:rFonts w:asciiTheme="minorHAnsi" w:hAnsiTheme="minorHAnsi"/>
          <w:szCs w:val="22"/>
          <w:lang w:val="de-DE"/>
        </w:rPr>
        <w:t xml:space="preserve"> %</w:t>
      </w:r>
      <w:r w:rsidRPr="00585F55">
        <w:rPr>
          <w:rFonts w:asciiTheme="minorHAnsi" w:hAnsiTheme="minorHAnsi"/>
          <w:szCs w:val="22"/>
          <w:lang w:val="de-DE"/>
        </w:rPr>
        <w:t xml:space="preserve"> der unter 35-Jährigen trägt Licht wesentlich zum Sicherheitsempfinden bei. Beleuchtete Häuser wirken bewohnt und Leuchten mit integrierten Bewegungsmeldern können die Orientierung auch jenseits der Eingangsbereiche erleichtern.</w:t>
      </w:r>
    </w:p>
    <w:p w14:paraId="3FFCDC76" w14:textId="77777777" w:rsidR="00585F55" w:rsidRPr="00585F55" w:rsidRDefault="00585F55" w:rsidP="00307BFC">
      <w:pPr>
        <w:rPr>
          <w:rFonts w:asciiTheme="minorHAnsi" w:hAnsiTheme="minorHAnsi"/>
          <w:szCs w:val="22"/>
          <w:lang w:val="de-DE"/>
        </w:rPr>
      </w:pPr>
    </w:p>
    <w:p w14:paraId="62A28244" w14:textId="77777777" w:rsidR="00585F55" w:rsidRPr="00585F55" w:rsidRDefault="00585F55" w:rsidP="00307BFC">
      <w:pPr>
        <w:rPr>
          <w:rFonts w:asciiTheme="minorHAnsi" w:hAnsiTheme="minorHAnsi"/>
          <w:b/>
          <w:szCs w:val="22"/>
          <w:lang w:val="de-DE"/>
        </w:rPr>
      </w:pPr>
      <w:r w:rsidRPr="00585F55">
        <w:rPr>
          <w:rFonts w:asciiTheme="minorHAnsi" w:hAnsiTheme="minorHAnsi"/>
          <w:b/>
          <w:szCs w:val="22"/>
          <w:lang w:val="de-DE"/>
        </w:rPr>
        <w:t>Aufwertung der Immobilie</w:t>
      </w:r>
    </w:p>
    <w:p w14:paraId="0F6C5E05" w14:textId="769061B5" w:rsidR="00585F55" w:rsidRPr="00585F55" w:rsidRDefault="00221D1D" w:rsidP="00307BFC">
      <w:pPr>
        <w:rPr>
          <w:lang w:val="de-DE"/>
        </w:rPr>
      </w:pPr>
      <w:r w:rsidRPr="00585F55">
        <w:rPr>
          <w:rFonts w:asciiTheme="minorHAnsi" w:hAnsiTheme="minorHAnsi"/>
          <w:noProof/>
          <w:szCs w:val="22"/>
          <w:lang w:val="de-DE" w:eastAsia="de-DE" w:bidi="ar-SA"/>
        </w:rPr>
        <w:drawing>
          <wp:anchor distT="0" distB="0" distL="114300" distR="114300" simplePos="0" relativeHeight="251659264" behindDoc="0" locked="0" layoutInCell="1" allowOverlap="1" wp14:anchorId="785A39F1" wp14:editId="114FAB7A">
            <wp:simplePos x="0" y="0"/>
            <wp:positionH relativeFrom="column">
              <wp:posOffset>2869565</wp:posOffset>
            </wp:positionH>
            <wp:positionV relativeFrom="paragraph">
              <wp:posOffset>5080</wp:posOffset>
            </wp:positionV>
            <wp:extent cx="2644775" cy="1760220"/>
            <wp:effectExtent l="0" t="0" r="3175" b="0"/>
            <wp:wrapSquare wrapText="bothSides"/>
            <wp:docPr id="4" name="Picture 4" descr="M:\Clients\Philips\Global\2016\LIGHTING\LED\TRLIE outdoor\Toolkit\Images\Lo-res\Outdoor lums_TRLIE_Image 1d_Finding the keys_Arbour with sensor_ON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lients\Philips\Global\2016\LIGHTING\LED\TRLIE outdoor\Toolkit\Images\Lo-res\Outdoor lums_TRLIE_Image 1d_Finding the keys_Arbour with sensor_ON_2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77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F55" w:rsidRPr="00585F55">
        <w:rPr>
          <w:rFonts w:asciiTheme="minorHAnsi" w:hAnsiTheme="minorHAnsi"/>
          <w:szCs w:val="22"/>
          <w:lang w:val="de-DE"/>
        </w:rPr>
        <w:t>Länderübergreifend</w:t>
      </w:r>
      <w:r w:rsidR="00585F55" w:rsidRPr="00585F55">
        <w:rPr>
          <w:rFonts w:asciiTheme="minorHAnsi" w:hAnsiTheme="minorHAnsi"/>
          <w:noProof/>
          <w:szCs w:val="22"/>
          <w:lang w:val="de-DE"/>
        </w:rPr>
        <w:t xml:space="preserve"> gilt: Eine </w:t>
      </w:r>
      <w:r w:rsidR="00585F55" w:rsidRPr="00585F55">
        <w:rPr>
          <w:rFonts w:asciiTheme="minorHAnsi" w:hAnsiTheme="minorHAnsi"/>
          <w:szCs w:val="22"/>
          <w:lang w:val="de-DE"/>
        </w:rPr>
        <w:t>Außenbeleuchtung wertet Häuser auf, sei es zum Bewohnen, beim Kauf oder zum Verkauf. Dabei wirkt Licht an der Hausvorderseite (51 %) nur geringfügig wichtiger als im Garten (48 %).</w:t>
      </w:r>
    </w:p>
    <w:p w14:paraId="4B5FAE32" w14:textId="77777777" w:rsidR="00585F55" w:rsidRPr="00585F55" w:rsidRDefault="00585F55" w:rsidP="00307BFC">
      <w:pPr>
        <w:rPr>
          <w:rFonts w:asciiTheme="minorHAnsi" w:hAnsiTheme="minorHAnsi"/>
          <w:szCs w:val="22"/>
          <w:lang w:val="de-DE"/>
        </w:rPr>
      </w:pPr>
    </w:p>
    <w:p w14:paraId="30AA9FD6" w14:textId="38721C98" w:rsidR="00585F55" w:rsidRPr="00585F55" w:rsidRDefault="00585F55" w:rsidP="00307BFC">
      <w:pPr>
        <w:rPr>
          <w:rFonts w:asciiTheme="minorHAnsi" w:hAnsiTheme="minorHAnsi"/>
          <w:szCs w:val="22"/>
          <w:lang w:val="de-DE"/>
        </w:rPr>
      </w:pPr>
      <w:r w:rsidRPr="00585F55">
        <w:rPr>
          <w:rFonts w:asciiTheme="minorHAnsi" w:hAnsiTheme="minorHAnsi"/>
          <w:szCs w:val="22"/>
          <w:lang w:val="de-DE"/>
        </w:rPr>
        <w:t xml:space="preserve">„Alles, was man von außen sieht, beeinflusst den ersten Eindruck. Eine Außenbeleuchtung verändert die Erscheinung eines Hauses und wertet es auf, speziell bei Besichtigungen am Abend“, erläutert Wohnhausexperte Sam Mitchell von Großbritanniens größtem Immobilien-Portal Rightmove. </w:t>
      </w:r>
      <w:r w:rsidRPr="00585F55">
        <w:rPr>
          <w:rFonts w:asciiTheme="minorHAnsi" w:hAnsiTheme="minorHAnsi"/>
          <w:szCs w:val="22"/>
          <w:lang w:val="de-DE"/>
        </w:rPr>
        <w:lastRenderedPageBreak/>
        <w:t>„Wer sein Haus verkaufen möchten, sollte darüber hinaus das Grundstück aufräumen, etwas Geld für einen frischen Anstrich ausgeben und eventuell größere Arbeiten erwägen, wie die Renovierung der Küche“.</w:t>
      </w:r>
    </w:p>
    <w:p w14:paraId="1CC2AF42" w14:textId="77777777" w:rsidR="00585F55" w:rsidRPr="00585F55" w:rsidRDefault="00585F55" w:rsidP="00307BFC">
      <w:pPr>
        <w:rPr>
          <w:rFonts w:asciiTheme="minorHAnsi" w:hAnsiTheme="minorHAnsi"/>
          <w:szCs w:val="22"/>
          <w:lang w:val="de-DE"/>
        </w:rPr>
      </w:pPr>
    </w:p>
    <w:p w14:paraId="73CA3AA2" w14:textId="77777777" w:rsidR="00585F55" w:rsidRPr="00585F55" w:rsidRDefault="00585F55" w:rsidP="00307BFC">
      <w:pPr>
        <w:rPr>
          <w:rFonts w:asciiTheme="minorHAnsi" w:hAnsiTheme="minorHAnsi"/>
          <w:b/>
          <w:szCs w:val="22"/>
          <w:lang w:val="de-DE"/>
        </w:rPr>
      </w:pPr>
      <w:r w:rsidRPr="00585F55">
        <w:rPr>
          <w:rFonts w:asciiTheme="minorHAnsi" w:hAnsiTheme="minorHAnsi"/>
          <w:b/>
          <w:szCs w:val="22"/>
          <w:lang w:val="de-DE"/>
        </w:rPr>
        <w:t>LED-Leuchten für unterschiedliche Außenbereiche</w:t>
      </w:r>
    </w:p>
    <w:p w14:paraId="7CDCDE55" w14:textId="5C3450A8" w:rsidR="00585F55" w:rsidRPr="00585F55" w:rsidRDefault="00585F55" w:rsidP="00307BFC">
      <w:pPr>
        <w:rPr>
          <w:rFonts w:asciiTheme="minorHAnsi" w:hAnsiTheme="minorHAnsi"/>
          <w:bCs/>
          <w:szCs w:val="22"/>
          <w:lang w:val="de-DE"/>
        </w:rPr>
      </w:pPr>
      <w:r w:rsidRPr="00585F55">
        <w:rPr>
          <w:rFonts w:asciiTheme="minorHAnsi" w:hAnsiTheme="minorHAnsi"/>
          <w:szCs w:val="22"/>
          <w:lang w:val="de-DE"/>
        </w:rPr>
        <w:t xml:space="preserve">Philips LED-Außenleuchten gibt es in zahlreichen Formen, Größen und Designs. Zu den Neuheiten für die Saison 2017 </w:t>
      </w:r>
      <w:r w:rsidRPr="00585F55">
        <w:rPr>
          <w:lang w:val="de-DE"/>
        </w:rPr>
        <w:t xml:space="preserve">gehört die </w:t>
      </w:r>
      <w:hyperlink r:id="rId10" w:history="1">
        <w:r w:rsidRPr="00585F55">
          <w:rPr>
            <w:rStyle w:val="Hyperlink"/>
            <w:rFonts w:asciiTheme="minorHAnsi" w:hAnsiTheme="minorHAnsi"/>
            <w:szCs w:val="22"/>
            <w:lang w:val="de-DE"/>
          </w:rPr>
          <w:t>Philips Alpenglow</w:t>
        </w:r>
      </w:hyperlink>
      <w:r w:rsidRPr="00585F55">
        <w:rPr>
          <w:rFonts w:asciiTheme="minorHAnsi" w:hAnsiTheme="minorHAnsi"/>
          <w:szCs w:val="22"/>
          <w:lang w:val="de-DE"/>
        </w:rPr>
        <w:t xml:space="preserve"> im Vintage-Look (24,99 Euro UVP) mit einer großzügigen Lichtverteilung für beispielsweise gemütliche Abende auf der Terrasse. Neben zwei Wandleuchten komplementieren eine Sockelleuchte zur Beleuchtung von Beeten und eine Wegeleuchte die Produktfamilie. Für einen moderneren Look im stilvollen Anthrazit eignet sich die neue LED-Produktfamilie </w:t>
      </w:r>
      <w:hyperlink r:id="rId11" w:history="1">
        <w:r w:rsidRPr="00221D1D">
          <w:rPr>
            <w:rStyle w:val="Hyperlink"/>
            <w:rFonts w:asciiTheme="minorHAnsi" w:hAnsiTheme="minorHAnsi"/>
            <w:szCs w:val="22"/>
            <w:lang w:val="de-DE"/>
          </w:rPr>
          <w:t>Philips Bustan</w:t>
        </w:r>
      </w:hyperlink>
      <w:r w:rsidR="00221D1D">
        <w:rPr>
          <w:rFonts w:asciiTheme="minorHAnsi" w:hAnsiTheme="minorHAnsi"/>
          <w:szCs w:val="22"/>
          <w:lang w:val="de-DE"/>
        </w:rPr>
        <w:t xml:space="preserve"> (</w:t>
      </w:r>
      <w:r w:rsidRPr="00585F55">
        <w:rPr>
          <w:rFonts w:asciiTheme="minorHAnsi" w:hAnsiTheme="minorHAnsi"/>
          <w:szCs w:val="22"/>
          <w:lang w:val="de-DE"/>
        </w:rPr>
        <w:t xml:space="preserve">ab 69,99 Euro UVP), die optional eine Wandleuchte mit integriertem Bewegungssensor bietet. Stärker gerichtete Akzente an Wänden oder Hauseingängen ermöglicht das Modell </w:t>
      </w:r>
      <w:hyperlink r:id="rId12" w:history="1">
        <w:r w:rsidRPr="00221D1D">
          <w:rPr>
            <w:rStyle w:val="Hyperlink"/>
            <w:rFonts w:asciiTheme="minorHAnsi" w:hAnsiTheme="minorHAnsi"/>
            <w:bCs/>
            <w:szCs w:val="22"/>
            <w:lang w:val="de-DE"/>
          </w:rPr>
          <w:t>Philips Cistus</w:t>
        </w:r>
      </w:hyperlink>
      <w:r w:rsidR="00221D1D">
        <w:rPr>
          <w:rFonts w:asciiTheme="minorHAnsi" w:hAnsiTheme="minorHAnsi"/>
          <w:bCs/>
          <w:szCs w:val="22"/>
          <w:lang w:val="de-DE"/>
        </w:rPr>
        <w:t xml:space="preserve"> (</w:t>
      </w:r>
      <w:r w:rsidRPr="00585F55">
        <w:rPr>
          <w:rFonts w:asciiTheme="minorHAnsi" w:hAnsiTheme="minorHAnsi"/>
          <w:szCs w:val="22"/>
          <w:lang w:val="de-DE"/>
        </w:rPr>
        <w:t>69,99 Euro UVP)</w:t>
      </w:r>
      <w:r w:rsidRPr="00585F55">
        <w:rPr>
          <w:rFonts w:asciiTheme="minorHAnsi" w:hAnsiTheme="minorHAnsi"/>
          <w:bCs/>
          <w:szCs w:val="22"/>
          <w:lang w:val="de-DE"/>
        </w:rPr>
        <w:t xml:space="preserve">, das sich dank seinem Diamantlichteffekt besonders gut zur Fassadenverschönerung eignet. </w:t>
      </w:r>
    </w:p>
    <w:p w14:paraId="404A5BAA" w14:textId="77777777" w:rsidR="00585F55" w:rsidRPr="00585F55" w:rsidRDefault="00585F55" w:rsidP="00307BFC">
      <w:pPr>
        <w:rPr>
          <w:rFonts w:asciiTheme="minorHAnsi" w:hAnsiTheme="minorHAnsi"/>
          <w:bCs/>
          <w:szCs w:val="22"/>
          <w:lang w:val="de-DE"/>
        </w:rPr>
      </w:pPr>
    </w:p>
    <w:p w14:paraId="7FAB5B1A" w14:textId="77777777" w:rsidR="00585F55" w:rsidRPr="00585F55" w:rsidRDefault="00585F55" w:rsidP="00307BFC">
      <w:pPr>
        <w:rPr>
          <w:rFonts w:asciiTheme="minorHAnsi" w:hAnsiTheme="minorHAnsi"/>
          <w:bCs/>
          <w:szCs w:val="22"/>
          <w:lang w:val="de-DE"/>
        </w:rPr>
      </w:pPr>
      <w:r w:rsidRPr="00585F55">
        <w:rPr>
          <w:rFonts w:asciiTheme="minorHAnsi" w:hAnsiTheme="minorHAnsi"/>
          <w:bCs/>
          <w:szCs w:val="22"/>
          <w:lang w:val="de-DE"/>
        </w:rPr>
        <w:t xml:space="preserve">Ab April 2017 ergänzen die neuen Leuchten die umfassende Auswahl an Außen- und Gartenleuchten von Weltmarktführer Philips Lighting. </w:t>
      </w:r>
    </w:p>
    <w:p w14:paraId="6BD2E62F" w14:textId="77777777" w:rsidR="00585F55" w:rsidRDefault="00585F55" w:rsidP="00307BFC">
      <w:pPr>
        <w:rPr>
          <w:rFonts w:asciiTheme="minorHAnsi" w:hAnsiTheme="minorHAnsi"/>
          <w:szCs w:val="22"/>
          <w:lang w:val="de-DE"/>
        </w:rPr>
      </w:pPr>
    </w:p>
    <w:p w14:paraId="6D69246D" w14:textId="77777777" w:rsidR="00CB54CA" w:rsidRDefault="00CB54CA" w:rsidP="00307BFC">
      <w:pPr>
        <w:rPr>
          <w:rFonts w:asciiTheme="minorHAnsi" w:hAnsiTheme="minorHAnsi"/>
          <w:szCs w:val="22"/>
          <w:lang w:val="de-DE"/>
        </w:rPr>
      </w:pPr>
    </w:p>
    <w:p w14:paraId="75A748AE" w14:textId="77777777" w:rsidR="00CB54CA" w:rsidRDefault="00CB54CA" w:rsidP="00307BFC">
      <w:pPr>
        <w:rPr>
          <w:rFonts w:asciiTheme="minorHAnsi" w:hAnsiTheme="minorHAnsi"/>
          <w:szCs w:val="22"/>
          <w:lang w:val="de-DE"/>
        </w:rPr>
      </w:pPr>
    </w:p>
    <w:p w14:paraId="2D9C2862" w14:textId="77777777" w:rsidR="00CB54CA" w:rsidRDefault="00CB54CA" w:rsidP="00307BFC">
      <w:pPr>
        <w:rPr>
          <w:rFonts w:asciiTheme="minorHAnsi" w:hAnsiTheme="minorHAnsi"/>
          <w:szCs w:val="22"/>
          <w:lang w:val="de-DE"/>
        </w:rPr>
      </w:pPr>
    </w:p>
    <w:p w14:paraId="5AC6041A" w14:textId="77777777" w:rsidR="00CB54CA" w:rsidRPr="00585F55" w:rsidRDefault="00CB54CA" w:rsidP="00307BFC">
      <w:pPr>
        <w:rPr>
          <w:rFonts w:asciiTheme="minorHAnsi" w:hAnsiTheme="minorHAnsi"/>
          <w:szCs w:val="22"/>
          <w:lang w:val="de-DE"/>
        </w:rPr>
      </w:pPr>
    </w:p>
    <w:p w14:paraId="14D58EF0" w14:textId="77777777" w:rsidR="00585F55" w:rsidRPr="00221D1D" w:rsidRDefault="00585F55" w:rsidP="00307BFC">
      <w:pPr>
        <w:rPr>
          <w:rFonts w:asciiTheme="minorHAnsi" w:hAnsiTheme="minorHAnsi"/>
          <w:b/>
          <w:sz w:val="18"/>
          <w:szCs w:val="18"/>
          <w:lang w:val="de-DE"/>
        </w:rPr>
      </w:pPr>
      <w:r w:rsidRPr="00221D1D">
        <w:rPr>
          <w:rFonts w:asciiTheme="minorHAnsi" w:hAnsiTheme="minorHAnsi"/>
          <w:b/>
          <w:sz w:val="18"/>
          <w:szCs w:val="18"/>
          <w:lang w:val="de-DE"/>
        </w:rPr>
        <w:t>Redaktionshinweise:</w:t>
      </w:r>
    </w:p>
    <w:p w14:paraId="38A4D972" w14:textId="44E056A7" w:rsidR="001C2D75" w:rsidRPr="00221D1D" w:rsidRDefault="00585F55" w:rsidP="00307BFC">
      <w:pPr>
        <w:rPr>
          <w:rFonts w:asciiTheme="minorHAnsi" w:hAnsiTheme="minorHAnsi"/>
          <w:iCs/>
          <w:sz w:val="18"/>
          <w:szCs w:val="18"/>
          <w:lang w:val="de-DE"/>
        </w:rPr>
      </w:pPr>
      <w:r w:rsidRPr="00221D1D">
        <w:rPr>
          <w:rFonts w:asciiTheme="minorHAnsi" w:hAnsiTheme="minorHAnsi"/>
          <w:sz w:val="18"/>
          <w:szCs w:val="18"/>
          <w:lang w:val="de-DE"/>
        </w:rPr>
        <w:t>S</w:t>
      </w:r>
      <w:r w:rsidRPr="00221D1D">
        <w:rPr>
          <w:rFonts w:asciiTheme="minorHAnsi" w:hAnsiTheme="minorHAnsi"/>
          <w:iCs/>
          <w:sz w:val="18"/>
          <w:szCs w:val="18"/>
          <w:lang w:val="de-DE"/>
        </w:rPr>
        <w:t>oweit nicht anders angegeben, stammen alle Zahlen von YouGov Plc. Die Feldforschung erfolgte im Zeitraum vom 28. Dezember 2016 bis zum 11. Januar 2017 in Großbritannien (Stichprobenumfang 2.116), Frankreich (Stichprobenumfang 1.014), Deutschland (Stichprobenumfang 2.048), Spanien (Stichprobenumfang 1.000) und den Niederlanden (Stichprobenumfang 1000).</w:t>
      </w:r>
      <w:r w:rsidR="00CB54CA">
        <w:rPr>
          <w:rFonts w:asciiTheme="minorHAnsi" w:hAnsiTheme="minorHAnsi"/>
          <w:iCs/>
          <w:sz w:val="18"/>
          <w:szCs w:val="18"/>
          <w:lang w:val="de-DE"/>
        </w:rPr>
        <w:t xml:space="preserve"> </w:t>
      </w:r>
      <w:r w:rsidRPr="00221D1D">
        <w:rPr>
          <w:rFonts w:asciiTheme="minorHAnsi" w:hAnsiTheme="minorHAnsi"/>
          <w:iCs/>
          <w:sz w:val="18"/>
          <w:szCs w:val="18"/>
          <w:lang w:val="de-DE"/>
        </w:rPr>
        <w:t>Die Umfragen wurden online durchgeführt. Die Werte wurden für jedes Land gewichtet und sind repräsentativ für alle Erwachsenen (18 Jahre und älter).</w:t>
      </w:r>
    </w:p>
    <w:p w14:paraId="5E07282D" w14:textId="77777777" w:rsidR="00221D1D" w:rsidRPr="00221D1D" w:rsidRDefault="00221D1D" w:rsidP="00307BFC">
      <w:pPr>
        <w:rPr>
          <w:rFonts w:asciiTheme="minorHAnsi" w:hAnsiTheme="minorHAnsi"/>
          <w:iCs/>
          <w:sz w:val="18"/>
          <w:szCs w:val="18"/>
          <w:lang w:val="de-DE"/>
        </w:rPr>
      </w:pPr>
    </w:p>
    <w:p w14:paraId="539D3CCF" w14:textId="77777777" w:rsidR="00221D1D" w:rsidRPr="00221D1D" w:rsidRDefault="00221D1D" w:rsidP="00307BFC">
      <w:pPr>
        <w:rPr>
          <w:rFonts w:asciiTheme="minorHAnsi" w:hAnsiTheme="minorHAnsi" w:cstheme="minorHAnsi"/>
          <w:sz w:val="18"/>
          <w:szCs w:val="18"/>
          <w:lang w:val="de-DE"/>
        </w:rPr>
      </w:pPr>
    </w:p>
    <w:p w14:paraId="37701F9C" w14:textId="3935BD9D" w:rsidR="00626C9C" w:rsidRPr="00585F55" w:rsidRDefault="00626C9C" w:rsidP="00307BFC">
      <w:pPr>
        <w:rPr>
          <w:rFonts w:cs="Calibri"/>
          <w:b/>
          <w:szCs w:val="22"/>
          <w:lang w:val="de-DE"/>
        </w:rPr>
      </w:pPr>
      <w:r w:rsidRPr="00585F55">
        <w:rPr>
          <w:rFonts w:cs="Calibri"/>
          <w:b/>
          <w:szCs w:val="22"/>
          <w:lang w:val="de-DE"/>
        </w:rPr>
        <w:t>Weitere Informationen für Journalisten</w:t>
      </w:r>
    </w:p>
    <w:p w14:paraId="6F76788A" w14:textId="42D9FC98" w:rsidR="00B33782" w:rsidRPr="00585F55" w:rsidRDefault="00B33782" w:rsidP="00307BFC">
      <w:pPr>
        <w:pStyle w:val="Textkrper"/>
        <w:ind w:right="0"/>
        <w:rPr>
          <w:rFonts w:ascii="Calibri" w:hAnsi="Calibri"/>
          <w:bCs/>
          <w:sz w:val="22"/>
          <w:szCs w:val="22"/>
          <w:lang w:val="de-DE"/>
        </w:rPr>
      </w:pPr>
      <w:r w:rsidRPr="00585F55">
        <w:rPr>
          <w:rFonts w:ascii="Calibri" w:hAnsi="Calibri"/>
          <w:bCs/>
          <w:sz w:val="22"/>
          <w:szCs w:val="22"/>
          <w:lang w:val="de-DE"/>
        </w:rPr>
        <w:t>Pressesprecher</w:t>
      </w:r>
    </w:p>
    <w:p w14:paraId="2EFB3900" w14:textId="4E99C453" w:rsidR="00B33782" w:rsidRPr="00585F55" w:rsidRDefault="00200B55" w:rsidP="00307BFC">
      <w:pPr>
        <w:pStyle w:val="Textkrper"/>
        <w:ind w:right="0"/>
        <w:rPr>
          <w:rFonts w:ascii="Calibri" w:hAnsi="Calibri"/>
          <w:bCs/>
          <w:sz w:val="22"/>
          <w:szCs w:val="22"/>
          <w:lang w:val="de-DE"/>
        </w:rPr>
      </w:pPr>
      <w:r w:rsidRPr="00585F55">
        <w:rPr>
          <w:rFonts w:ascii="Calibri" w:hAnsi="Calibri"/>
          <w:bCs/>
          <w:sz w:val="22"/>
          <w:szCs w:val="22"/>
          <w:lang w:val="de-DE"/>
        </w:rPr>
        <w:t>Oliver Klug</w:t>
      </w:r>
    </w:p>
    <w:p w14:paraId="5A6D294C" w14:textId="77777777" w:rsidR="00200B55" w:rsidRPr="00585F55" w:rsidRDefault="00200B55" w:rsidP="00307BFC">
      <w:pPr>
        <w:pStyle w:val="Textkrper"/>
        <w:ind w:right="0"/>
        <w:rPr>
          <w:rFonts w:ascii="Calibri" w:hAnsi="Calibri"/>
          <w:bCs/>
          <w:sz w:val="22"/>
          <w:szCs w:val="22"/>
          <w:lang w:val="de-DE"/>
        </w:rPr>
      </w:pPr>
      <w:r w:rsidRPr="00585F55">
        <w:rPr>
          <w:rFonts w:ascii="Calibri" w:hAnsi="Calibri"/>
          <w:bCs/>
          <w:sz w:val="22"/>
          <w:szCs w:val="22"/>
          <w:lang w:val="de-DE"/>
        </w:rPr>
        <w:t>Tel: +49 (0) 152 22 80 05 44</w:t>
      </w:r>
    </w:p>
    <w:p w14:paraId="24ACF7B3" w14:textId="77777777" w:rsidR="00200B55" w:rsidRPr="00585F55" w:rsidRDefault="00200B55" w:rsidP="00307BFC">
      <w:pPr>
        <w:rPr>
          <w:bCs/>
          <w:szCs w:val="22"/>
          <w:lang w:val="de-DE"/>
        </w:rPr>
      </w:pPr>
      <w:r w:rsidRPr="00585F55">
        <w:rPr>
          <w:bCs/>
          <w:szCs w:val="22"/>
          <w:lang w:val="de-DE"/>
        </w:rPr>
        <w:lastRenderedPageBreak/>
        <w:t xml:space="preserve">E-Mail: </w:t>
      </w:r>
      <w:hyperlink r:id="rId13" w:history="1">
        <w:r w:rsidRPr="00585F55">
          <w:rPr>
            <w:rStyle w:val="Hyperlink"/>
            <w:rFonts w:cs="Arial"/>
            <w:lang w:val="de-DE"/>
          </w:rPr>
          <w:t>oliver.klug@philips.com</w:t>
        </w:r>
      </w:hyperlink>
    </w:p>
    <w:p w14:paraId="01FBE56F" w14:textId="77777777" w:rsidR="00B33782" w:rsidRPr="00585F55" w:rsidRDefault="00B33782" w:rsidP="00307BFC">
      <w:pPr>
        <w:pStyle w:val="Textkrper"/>
        <w:ind w:right="0"/>
        <w:rPr>
          <w:rFonts w:ascii="Calibri" w:hAnsi="Calibri"/>
          <w:bCs/>
          <w:sz w:val="22"/>
          <w:szCs w:val="22"/>
          <w:lang w:val="de-DE"/>
        </w:rPr>
      </w:pPr>
    </w:p>
    <w:p w14:paraId="34217114" w14:textId="77777777" w:rsidR="00B33782" w:rsidRPr="00585F55" w:rsidRDefault="00B33782" w:rsidP="00307BFC">
      <w:pPr>
        <w:pStyle w:val="Textkrper"/>
        <w:ind w:right="0"/>
        <w:rPr>
          <w:rFonts w:ascii="Calibri" w:hAnsi="Calibri"/>
          <w:bCs/>
          <w:sz w:val="22"/>
          <w:szCs w:val="22"/>
          <w:lang w:val="de-DE"/>
        </w:rPr>
      </w:pPr>
      <w:r w:rsidRPr="00585F55">
        <w:rPr>
          <w:rFonts w:ascii="Calibri" w:hAnsi="Calibri"/>
          <w:bCs/>
          <w:sz w:val="22"/>
          <w:szCs w:val="22"/>
          <w:lang w:val="de-DE"/>
        </w:rPr>
        <w:t>Philips Lighting GmbH, Röntgenstraße 22, 22335 Hamburg</w:t>
      </w:r>
    </w:p>
    <w:p w14:paraId="76EDE32D" w14:textId="77777777" w:rsidR="00526B15" w:rsidRPr="00585F55" w:rsidRDefault="00526B15" w:rsidP="00307BFC">
      <w:pPr>
        <w:rPr>
          <w:rStyle w:val="Hyperlink"/>
          <w:color w:val="auto"/>
          <w:szCs w:val="22"/>
          <w:lang w:val="de-DE"/>
        </w:rPr>
      </w:pPr>
    </w:p>
    <w:p w14:paraId="68ECA874" w14:textId="77777777" w:rsidR="0067456F" w:rsidRPr="00585F55" w:rsidRDefault="0067456F" w:rsidP="00307BFC">
      <w:pPr>
        <w:rPr>
          <w:rFonts w:asciiTheme="minorHAnsi" w:hAnsiTheme="minorHAnsi" w:cstheme="minorHAnsi"/>
          <w:szCs w:val="22"/>
          <w:lang w:val="de-DE"/>
        </w:rPr>
      </w:pPr>
      <w:r w:rsidRPr="00585F55">
        <w:rPr>
          <w:rFonts w:asciiTheme="minorHAnsi" w:hAnsiTheme="minorHAnsi" w:cstheme="minorHAnsi"/>
          <w:b/>
          <w:bCs/>
          <w:iCs/>
          <w:szCs w:val="22"/>
          <w:lang w:val="de-DE"/>
        </w:rPr>
        <w:t>Über Philips Lighting</w:t>
      </w:r>
    </w:p>
    <w:p w14:paraId="68901DFB" w14:textId="05D14F0C" w:rsidR="00526B15" w:rsidRPr="00585F55" w:rsidRDefault="0067456F" w:rsidP="00307BFC">
      <w:pPr>
        <w:rPr>
          <w:szCs w:val="22"/>
          <w:lang w:val="de-DE"/>
        </w:rPr>
      </w:pPr>
      <w:r w:rsidRPr="00585F55">
        <w:rPr>
          <w:rStyle w:val="p-body-copy-02"/>
          <w:szCs w:val="22"/>
          <w:lang w:val="de-DE"/>
        </w:rPr>
        <w:t xml:space="preserve">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585F55">
        <w:rPr>
          <w:rStyle w:val="p-body-copy-02"/>
          <w:bCs/>
          <w:szCs w:val="22"/>
          <w:lang w:val="de-DE"/>
        </w:rPr>
        <w:t>34.000 Mitarbeitern</w:t>
      </w:r>
      <w:r w:rsidRPr="00585F55">
        <w:rPr>
          <w:rStyle w:val="p-body-copy-02"/>
          <w:szCs w:val="22"/>
          <w:lang w:val="de-DE"/>
        </w:rPr>
        <w:t xml:space="preserve"> in mehr als 70 Ländern einen Umsatz von </w:t>
      </w:r>
      <w:r w:rsidRPr="00585F55">
        <w:rPr>
          <w:rStyle w:val="p-body-copy-02"/>
          <w:bCs/>
          <w:szCs w:val="22"/>
          <w:lang w:val="de-DE"/>
        </w:rPr>
        <w:t>7,1 Milliarden Euro</w:t>
      </w:r>
      <w:r w:rsidRPr="00585F55">
        <w:rPr>
          <w:rStyle w:val="p-body-copy-02"/>
          <w:szCs w:val="22"/>
          <w:lang w:val="de-DE"/>
        </w:rPr>
        <w:t xml:space="preserve"> erzielt. Neuigkeiten veröffentlicht Philips Lighting auf</w:t>
      </w:r>
      <w:r w:rsidR="0017527D" w:rsidRPr="00585F55">
        <w:rPr>
          <w:rStyle w:val="p-body-copy-02"/>
          <w:szCs w:val="22"/>
          <w:lang w:val="de-DE"/>
        </w:rPr>
        <w:t xml:space="preserve"> </w:t>
      </w:r>
      <w:hyperlink r:id="rId14" w:history="1">
        <w:r w:rsidR="0017527D" w:rsidRPr="00585F55">
          <w:rPr>
            <w:rStyle w:val="Hyperlink"/>
            <w:szCs w:val="22"/>
            <w:lang w:val="de-DE"/>
          </w:rPr>
          <w:t>www.philips.de/a-w/about/news.html</w:t>
        </w:r>
      </w:hyperlink>
      <w:r w:rsidR="0017527D" w:rsidRPr="00585F55">
        <w:rPr>
          <w:szCs w:val="22"/>
          <w:lang w:val="de-DE"/>
        </w:rPr>
        <w:t>.</w:t>
      </w:r>
    </w:p>
    <w:sectPr w:rsidR="00526B15" w:rsidRPr="00585F55" w:rsidSect="001C2732">
      <w:headerReference w:type="default" r:id="rId15"/>
      <w:footerReference w:type="default" r:id="rId16"/>
      <w:headerReference w:type="first" r:id="rId17"/>
      <w:footerReference w:type="first" r:id="rId18"/>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9B1D6" w14:textId="77777777" w:rsidR="0017750D" w:rsidRDefault="0017750D">
      <w:r>
        <w:separator/>
      </w:r>
    </w:p>
  </w:endnote>
  <w:endnote w:type="continuationSeparator" w:id="0">
    <w:p w14:paraId="3A2194C0" w14:textId="77777777" w:rsidR="0017750D" w:rsidRDefault="0017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01" w:usb1="00000000" w:usb2="00000000" w:usb3="00000000" w:csb0="00000009" w:csb1="00000000"/>
  </w:font>
  <w:font w:name="centrale_sans_book">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CEF7" w14:textId="77777777" w:rsidR="0017750D" w:rsidRDefault="0017750D">
      <w:r>
        <w:separator/>
      </w:r>
    </w:p>
  </w:footnote>
  <w:footnote w:type="continuationSeparator" w:id="0">
    <w:p w14:paraId="4C0D9FBB" w14:textId="77777777" w:rsidR="0017750D" w:rsidRDefault="00177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122648D" w:rsidR="00F5465A" w:rsidRPr="0001308C" w:rsidRDefault="00446951" w:rsidP="00F5465A">
          <w:pPr>
            <w:jc w:val="right"/>
            <w:rPr>
              <w:sz w:val="16"/>
              <w:szCs w:val="16"/>
            </w:rPr>
          </w:pPr>
          <w:bookmarkStart w:id="3" w:name="Page"/>
          <w:r>
            <w:rPr>
              <w:sz w:val="16"/>
              <w:szCs w:val="16"/>
              <w:lang w:val="en-GB"/>
            </w:rPr>
            <w:t xml:space="preserve">Seite: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1F1465">
            <w:rPr>
              <w:noProof/>
              <w:sz w:val="16"/>
              <w:szCs w:val="16"/>
              <w:lang w:val="en-GB"/>
            </w:rPr>
            <w:t>2</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F207A"/>
    <w:multiLevelType w:val="hybridMultilevel"/>
    <w:tmpl w:val="602E4DB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42F4C"/>
    <w:multiLevelType w:val="hybridMultilevel"/>
    <w:tmpl w:val="EFD0C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05ADB"/>
    <w:rsid w:val="0001308C"/>
    <w:rsid w:val="00014F84"/>
    <w:rsid w:val="00020034"/>
    <w:rsid w:val="00020914"/>
    <w:rsid w:val="0002456F"/>
    <w:rsid w:val="000260FC"/>
    <w:rsid w:val="00035565"/>
    <w:rsid w:val="00035A19"/>
    <w:rsid w:val="0004031F"/>
    <w:rsid w:val="0004652E"/>
    <w:rsid w:val="00047D5C"/>
    <w:rsid w:val="00050B5C"/>
    <w:rsid w:val="00056E22"/>
    <w:rsid w:val="00061AEC"/>
    <w:rsid w:val="00063583"/>
    <w:rsid w:val="00075A30"/>
    <w:rsid w:val="000811DD"/>
    <w:rsid w:val="00081964"/>
    <w:rsid w:val="00083F2A"/>
    <w:rsid w:val="00086068"/>
    <w:rsid w:val="0008631F"/>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1B5E"/>
    <w:rsid w:val="001143E3"/>
    <w:rsid w:val="00117A79"/>
    <w:rsid w:val="00120CCD"/>
    <w:rsid w:val="0012102D"/>
    <w:rsid w:val="0012462A"/>
    <w:rsid w:val="00124843"/>
    <w:rsid w:val="00130FA6"/>
    <w:rsid w:val="001352C3"/>
    <w:rsid w:val="001353B3"/>
    <w:rsid w:val="001354E7"/>
    <w:rsid w:val="001375D6"/>
    <w:rsid w:val="00144FCE"/>
    <w:rsid w:val="001458C7"/>
    <w:rsid w:val="0014707A"/>
    <w:rsid w:val="00150822"/>
    <w:rsid w:val="00151A59"/>
    <w:rsid w:val="00155BBD"/>
    <w:rsid w:val="0017161F"/>
    <w:rsid w:val="00171EAD"/>
    <w:rsid w:val="0017527D"/>
    <w:rsid w:val="0017750D"/>
    <w:rsid w:val="00181DC3"/>
    <w:rsid w:val="00181F42"/>
    <w:rsid w:val="001914B9"/>
    <w:rsid w:val="0019312A"/>
    <w:rsid w:val="00195ADF"/>
    <w:rsid w:val="00195C05"/>
    <w:rsid w:val="00197618"/>
    <w:rsid w:val="001A19B9"/>
    <w:rsid w:val="001A1AA2"/>
    <w:rsid w:val="001A3815"/>
    <w:rsid w:val="001A71D4"/>
    <w:rsid w:val="001A79B7"/>
    <w:rsid w:val="001C2732"/>
    <w:rsid w:val="001C2D75"/>
    <w:rsid w:val="001C43DC"/>
    <w:rsid w:val="001D01F2"/>
    <w:rsid w:val="001D18E6"/>
    <w:rsid w:val="001D3DE5"/>
    <w:rsid w:val="001D6AAA"/>
    <w:rsid w:val="001E388F"/>
    <w:rsid w:val="001E4783"/>
    <w:rsid w:val="001F0218"/>
    <w:rsid w:val="001F05AF"/>
    <w:rsid w:val="001F1465"/>
    <w:rsid w:val="001F36A8"/>
    <w:rsid w:val="001F44A8"/>
    <w:rsid w:val="001F58C5"/>
    <w:rsid w:val="00200B55"/>
    <w:rsid w:val="00203EAC"/>
    <w:rsid w:val="00205E8C"/>
    <w:rsid w:val="00221D1D"/>
    <w:rsid w:val="00221DD3"/>
    <w:rsid w:val="00223A51"/>
    <w:rsid w:val="00225849"/>
    <w:rsid w:val="00232B9B"/>
    <w:rsid w:val="002363F2"/>
    <w:rsid w:val="00242321"/>
    <w:rsid w:val="00244059"/>
    <w:rsid w:val="00255825"/>
    <w:rsid w:val="00260BF8"/>
    <w:rsid w:val="00262EAE"/>
    <w:rsid w:val="002653F3"/>
    <w:rsid w:val="00266545"/>
    <w:rsid w:val="0027217A"/>
    <w:rsid w:val="002735C6"/>
    <w:rsid w:val="00274407"/>
    <w:rsid w:val="002767A8"/>
    <w:rsid w:val="00277A18"/>
    <w:rsid w:val="00282AE2"/>
    <w:rsid w:val="0028524C"/>
    <w:rsid w:val="00291298"/>
    <w:rsid w:val="00292622"/>
    <w:rsid w:val="00293D18"/>
    <w:rsid w:val="00294456"/>
    <w:rsid w:val="002956DA"/>
    <w:rsid w:val="00296766"/>
    <w:rsid w:val="00296B85"/>
    <w:rsid w:val="0029735A"/>
    <w:rsid w:val="002A3B7E"/>
    <w:rsid w:val="002A68BE"/>
    <w:rsid w:val="002A6E21"/>
    <w:rsid w:val="002C210A"/>
    <w:rsid w:val="002C3953"/>
    <w:rsid w:val="002D465C"/>
    <w:rsid w:val="002D5A60"/>
    <w:rsid w:val="002E2AA5"/>
    <w:rsid w:val="002E2AE1"/>
    <w:rsid w:val="002E3DB3"/>
    <w:rsid w:val="002E6842"/>
    <w:rsid w:val="002E6A92"/>
    <w:rsid w:val="002F7D92"/>
    <w:rsid w:val="002F7FAA"/>
    <w:rsid w:val="00303852"/>
    <w:rsid w:val="00306915"/>
    <w:rsid w:val="00306985"/>
    <w:rsid w:val="00307BFC"/>
    <w:rsid w:val="003105DD"/>
    <w:rsid w:val="00311C5D"/>
    <w:rsid w:val="00312ABD"/>
    <w:rsid w:val="0032047C"/>
    <w:rsid w:val="00321D12"/>
    <w:rsid w:val="0032484E"/>
    <w:rsid w:val="0032737E"/>
    <w:rsid w:val="00334962"/>
    <w:rsid w:val="00337753"/>
    <w:rsid w:val="00337A2C"/>
    <w:rsid w:val="00341305"/>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18F"/>
    <w:rsid w:val="00371A29"/>
    <w:rsid w:val="003725B6"/>
    <w:rsid w:val="00373A31"/>
    <w:rsid w:val="00375318"/>
    <w:rsid w:val="00376F52"/>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5A32"/>
    <w:rsid w:val="004867B4"/>
    <w:rsid w:val="004A084D"/>
    <w:rsid w:val="004B1538"/>
    <w:rsid w:val="004C1736"/>
    <w:rsid w:val="004C2D2D"/>
    <w:rsid w:val="004C397B"/>
    <w:rsid w:val="004C7A52"/>
    <w:rsid w:val="004D35E5"/>
    <w:rsid w:val="004D5872"/>
    <w:rsid w:val="004D58F9"/>
    <w:rsid w:val="004E5600"/>
    <w:rsid w:val="004F00AA"/>
    <w:rsid w:val="00506375"/>
    <w:rsid w:val="005075CF"/>
    <w:rsid w:val="00513E3D"/>
    <w:rsid w:val="00514AB2"/>
    <w:rsid w:val="00515460"/>
    <w:rsid w:val="00515FC3"/>
    <w:rsid w:val="00516945"/>
    <w:rsid w:val="005250B2"/>
    <w:rsid w:val="00526B15"/>
    <w:rsid w:val="005353F4"/>
    <w:rsid w:val="00536095"/>
    <w:rsid w:val="00537D37"/>
    <w:rsid w:val="0054717D"/>
    <w:rsid w:val="005501B0"/>
    <w:rsid w:val="00551E5C"/>
    <w:rsid w:val="00553441"/>
    <w:rsid w:val="00553F9D"/>
    <w:rsid w:val="00555A17"/>
    <w:rsid w:val="0056163F"/>
    <w:rsid w:val="0056255A"/>
    <w:rsid w:val="00567F84"/>
    <w:rsid w:val="00570A71"/>
    <w:rsid w:val="00571B2E"/>
    <w:rsid w:val="0057668E"/>
    <w:rsid w:val="005769DF"/>
    <w:rsid w:val="00585157"/>
    <w:rsid w:val="00585F55"/>
    <w:rsid w:val="00586FB0"/>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456F"/>
    <w:rsid w:val="006769C4"/>
    <w:rsid w:val="00686C93"/>
    <w:rsid w:val="00691551"/>
    <w:rsid w:val="00693C2B"/>
    <w:rsid w:val="00694039"/>
    <w:rsid w:val="006A1324"/>
    <w:rsid w:val="006A17A7"/>
    <w:rsid w:val="006A5164"/>
    <w:rsid w:val="006B10CA"/>
    <w:rsid w:val="006B3EB2"/>
    <w:rsid w:val="006B58C0"/>
    <w:rsid w:val="006C3FBF"/>
    <w:rsid w:val="006C6A30"/>
    <w:rsid w:val="006D0E25"/>
    <w:rsid w:val="006D21BF"/>
    <w:rsid w:val="006D7A4F"/>
    <w:rsid w:val="006E365A"/>
    <w:rsid w:val="006F50A9"/>
    <w:rsid w:val="006F5F8E"/>
    <w:rsid w:val="006F67D7"/>
    <w:rsid w:val="00700037"/>
    <w:rsid w:val="00706CB8"/>
    <w:rsid w:val="00707D71"/>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15C8"/>
    <w:rsid w:val="00751A17"/>
    <w:rsid w:val="007544ED"/>
    <w:rsid w:val="00754821"/>
    <w:rsid w:val="00754B50"/>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1A32"/>
    <w:rsid w:val="007924F8"/>
    <w:rsid w:val="0079581F"/>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37998"/>
    <w:rsid w:val="00842661"/>
    <w:rsid w:val="008454F8"/>
    <w:rsid w:val="00845B94"/>
    <w:rsid w:val="008517AF"/>
    <w:rsid w:val="008608DA"/>
    <w:rsid w:val="008625C0"/>
    <w:rsid w:val="008651A6"/>
    <w:rsid w:val="00871F16"/>
    <w:rsid w:val="00873AC4"/>
    <w:rsid w:val="00875946"/>
    <w:rsid w:val="00876DCA"/>
    <w:rsid w:val="00880FB4"/>
    <w:rsid w:val="00885263"/>
    <w:rsid w:val="00893E98"/>
    <w:rsid w:val="008A5A22"/>
    <w:rsid w:val="008B225F"/>
    <w:rsid w:val="008B7637"/>
    <w:rsid w:val="008C731D"/>
    <w:rsid w:val="008D4402"/>
    <w:rsid w:val="008D604C"/>
    <w:rsid w:val="008F3B50"/>
    <w:rsid w:val="008F4C19"/>
    <w:rsid w:val="008F7DC3"/>
    <w:rsid w:val="00910153"/>
    <w:rsid w:val="009146C5"/>
    <w:rsid w:val="00914CB9"/>
    <w:rsid w:val="009161EC"/>
    <w:rsid w:val="00916EAC"/>
    <w:rsid w:val="00921960"/>
    <w:rsid w:val="00923D30"/>
    <w:rsid w:val="009249FF"/>
    <w:rsid w:val="0092717D"/>
    <w:rsid w:val="00927981"/>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EA3"/>
    <w:rsid w:val="009D5F1B"/>
    <w:rsid w:val="009D6395"/>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48F4"/>
    <w:rsid w:val="00A75414"/>
    <w:rsid w:val="00A77606"/>
    <w:rsid w:val="00A90973"/>
    <w:rsid w:val="00A90E8C"/>
    <w:rsid w:val="00A941B0"/>
    <w:rsid w:val="00AA1551"/>
    <w:rsid w:val="00AA3BCC"/>
    <w:rsid w:val="00AA5C13"/>
    <w:rsid w:val="00AA6DB8"/>
    <w:rsid w:val="00AB1495"/>
    <w:rsid w:val="00AC3712"/>
    <w:rsid w:val="00AD7FD4"/>
    <w:rsid w:val="00AE0637"/>
    <w:rsid w:val="00AE0EBA"/>
    <w:rsid w:val="00AE26EE"/>
    <w:rsid w:val="00AE6122"/>
    <w:rsid w:val="00AE69BA"/>
    <w:rsid w:val="00AF2DFE"/>
    <w:rsid w:val="00AF6A04"/>
    <w:rsid w:val="00AF74AD"/>
    <w:rsid w:val="00AF7BA8"/>
    <w:rsid w:val="00B10674"/>
    <w:rsid w:val="00B112FD"/>
    <w:rsid w:val="00B148B2"/>
    <w:rsid w:val="00B16485"/>
    <w:rsid w:val="00B20E26"/>
    <w:rsid w:val="00B22224"/>
    <w:rsid w:val="00B23C51"/>
    <w:rsid w:val="00B24ABB"/>
    <w:rsid w:val="00B269B9"/>
    <w:rsid w:val="00B27291"/>
    <w:rsid w:val="00B279D3"/>
    <w:rsid w:val="00B33782"/>
    <w:rsid w:val="00B42D27"/>
    <w:rsid w:val="00B44097"/>
    <w:rsid w:val="00B518D7"/>
    <w:rsid w:val="00B5367B"/>
    <w:rsid w:val="00B5535D"/>
    <w:rsid w:val="00B63A04"/>
    <w:rsid w:val="00B717C0"/>
    <w:rsid w:val="00B720C2"/>
    <w:rsid w:val="00B77B78"/>
    <w:rsid w:val="00B8245A"/>
    <w:rsid w:val="00B942E0"/>
    <w:rsid w:val="00B96D0E"/>
    <w:rsid w:val="00B974B1"/>
    <w:rsid w:val="00BA078C"/>
    <w:rsid w:val="00BA1932"/>
    <w:rsid w:val="00BA4504"/>
    <w:rsid w:val="00BA71D4"/>
    <w:rsid w:val="00BB2BC5"/>
    <w:rsid w:val="00BC543F"/>
    <w:rsid w:val="00BC728B"/>
    <w:rsid w:val="00BD1CE0"/>
    <w:rsid w:val="00BE6180"/>
    <w:rsid w:val="00BF1731"/>
    <w:rsid w:val="00BF4535"/>
    <w:rsid w:val="00C003F5"/>
    <w:rsid w:val="00C0069A"/>
    <w:rsid w:val="00C00DBA"/>
    <w:rsid w:val="00C027CD"/>
    <w:rsid w:val="00C02886"/>
    <w:rsid w:val="00C03D02"/>
    <w:rsid w:val="00C03EA9"/>
    <w:rsid w:val="00C144A5"/>
    <w:rsid w:val="00C16D9B"/>
    <w:rsid w:val="00C17E4C"/>
    <w:rsid w:val="00C27834"/>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D50"/>
    <w:rsid w:val="00CB2BCD"/>
    <w:rsid w:val="00CB54CA"/>
    <w:rsid w:val="00CB592E"/>
    <w:rsid w:val="00CC1D2D"/>
    <w:rsid w:val="00CC4CE1"/>
    <w:rsid w:val="00CD229F"/>
    <w:rsid w:val="00CE46FA"/>
    <w:rsid w:val="00CE6668"/>
    <w:rsid w:val="00CF32C2"/>
    <w:rsid w:val="00CF4E87"/>
    <w:rsid w:val="00D00066"/>
    <w:rsid w:val="00D042B3"/>
    <w:rsid w:val="00D1788E"/>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B021E"/>
    <w:rsid w:val="00DB0D0D"/>
    <w:rsid w:val="00DC430A"/>
    <w:rsid w:val="00DC6933"/>
    <w:rsid w:val="00DC72B7"/>
    <w:rsid w:val="00DD3A59"/>
    <w:rsid w:val="00DD3D62"/>
    <w:rsid w:val="00DD5243"/>
    <w:rsid w:val="00DE36DE"/>
    <w:rsid w:val="00DE43EB"/>
    <w:rsid w:val="00DE5EA6"/>
    <w:rsid w:val="00DF1379"/>
    <w:rsid w:val="00E101FB"/>
    <w:rsid w:val="00E10A1F"/>
    <w:rsid w:val="00E112D3"/>
    <w:rsid w:val="00E1143A"/>
    <w:rsid w:val="00E16FDB"/>
    <w:rsid w:val="00E17F57"/>
    <w:rsid w:val="00E2088F"/>
    <w:rsid w:val="00E23C8F"/>
    <w:rsid w:val="00E263B5"/>
    <w:rsid w:val="00E26E41"/>
    <w:rsid w:val="00E333A5"/>
    <w:rsid w:val="00E3594D"/>
    <w:rsid w:val="00E372A7"/>
    <w:rsid w:val="00E374EF"/>
    <w:rsid w:val="00E40199"/>
    <w:rsid w:val="00E41418"/>
    <w:rsid w:val="00E416B1"/>
    <w:rsid w:val="00E433CF"/>
    <w:rsid w:val="00E439A6"/>
    <w:rsid w:val="00E502E5"/>
    <w:rsid w:val="00E50437"/>
    <w:rsid w:val="00E529B9"/>
    <w:rsid w:val="00E53078"/>
    <w:rsid w:val="00E54A27"/>
    <w:rsid w:val="00E54AC7"/>
    <w:rsid w:val="00E60953"/>
    <w:rsid w:val="00E62463"/>
    <w:rsid w:val="00E70F79"/>
    <w:rsid w:val="00E73838"/>
    <w:rsid w:val="00E73C6E"/>
    <w:rsid w:val="00E76D1B"/>
    <w:rsid w:val="00E80D61"/>
    <w:rsid w:val="00E84385"/>
    <w:rsid w:val="00E8508B"/>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5F5E"/>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2311"/>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4EAD"/>
    <w:rsid w:val="00FD5ADA"/>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 w:type="paragraph" w:styleId="KeinLeerraum">
    <w:name w:val="No Spacing"/>
    <w:basedOn w:val="Standard"/>
    <w:link w:val="KeinLeerraumZchn"/>
    <w:uiPriority w:val="1"/>
    <w:qFormat/>
    <w:rsid w:val="00200B55"/>
    <w:rPr>
      <w:rFonts w:eastAsiaTheme="minorHAnsi" w:cs="Calibri"/>
      <w:szCs w:val="22"/>
      <w:lang w:val="de-DE" w:bidi="ar-SA"/>
    </w:rPr>
  </w:style>
  <w:style w:type="character" w:customStyle="1" w:styleId="KeinLeerraumZchn">
    <w:name w:val="Kein Leerraum Zchn"/>
    <w:basedOn w:val="Absatz-Standardschriftart"/>
    <w:link w:val="KeinLeerraum"/>
    <w:uiPriority w:val="1"/>
    <w:rsid w:val="00200B55"/>
    <w:rPr>
      <w:rFonts w:ascii="Calibri" w:eastAsiaTheme="minorHAnsi" w:hAnsi="Calibri" w:cs="Calibri"/>
      <w:sz w:val="22"/>
      <w:szCs w:val="22"/>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liver.klug@philip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ilips.co.uk/c-p/1735193P0/mygarden-wall-light/overvie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ips.co.uk/c-p/1735293P0/mygarden-wall-ligh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hilips.co.uk/c-p/1723730PN/mygarden-wall-ligh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hilips.de/a-w/about/new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5CB2-B6AD-4115-926F-CF26C009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6770</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2017-03-28T10:19:00Z</dcterms:created>
  <dcterms:modified xsi:type="dcterms:W3CDTF">2017-03-28T10:19:00Z</dcterms:modified>
</cp:coreProperties>
</file>