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3A73B2" w:rsidRDefault="00225849" w:rsidP="003A73B2">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9D042D" w:rsidP="00225849">
      <w:pPr>
        <w:rPr>
          <w:rFonts w:cs="Calibri"/>
          <w:szCs w:val="24"/>
          <w:lang w:val="de-DE" w:eastAsia="en-US"/>
        </w:rPr>
      </w:pPr>
      <w:r>
        <w:rPr>
          <w:rFonts w:cs="Calibri"/>
          <w:szCs w:val="24"/>
          <w:lang w:val="de-DE" w:eastAsia="en-US"/>
        </w:rPr>
        <w:t>August</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225849" w:rsidRPr="00D768CC" w:rsidRDefault="00225849" w:rsidP="00225849">
      <w:pPr>
        <w:rPr>
          <w:rFonts w:cs="Calibri"/>
          <w:szCs w:val="24"/>
          <w:lang w:val="de-DE" w:eastAsia="en-US"/>
        </w:rPr>
      </w:pPr>
    </w:p>
    <w:p w:rsidR="00210A2B" w:rsidRPr="00524430" w:rsidRDefault="009D042D" w:rsidP="00210A2B">
      <w:pPr>
        <w:rPr>
          <w:rFonts w:cs="Calibri"/>
          <w:sz w:val="24"/>
          <w:szCs w:val="24"/>
          <w:lang w:val="de-DE"/>
        </w:rPr>
      </w:pPr>
      <w:r>
        <w:rPr>
          <w:rFonts w:cs="Calibri"/>
          <w:sz w:val="24"/>
          <w:szCs w:val="24"/>
          <w:lang w:val="de-DE"/>
        </w:rPr>
        <w:t xml:space="preserve">Philips </w:t>
      </w:r>
      <w:r w:rsidR="00524430">
        <w:rPr>
          <w:rFonts w:cs="Calibri"/>
          <w:sz w:val="24"/>
          <w:szCs w:val="24"/>
          <w:lang w:val="de-DE"/>
        </w:rPr>
        <w:t xml:space="preserve">CitySoul gen2 </w:t>
      </w:r>
      <w:r w:rsidR="00CB302A">
        <w:rPr>
          <w:rFonts w:cs="Calibri"/>
          <w:sz w:val="24"/>
          <w:szCs w:val="24"/>
          <w:lang w:val="de-DE"/>
        </w:rPr>
        <w:t xml:space="preserve">erleichtert </w:t>
      </w:r>
      <w:r w:rsidR="00756268">
        <w:rPr>
          <w:rFonts w:cs="Calibri"/>
          <w:sz w:val="24"/>
          <w:szCs w:val="24"/>
          <w:lang w:val="de-DE"/>
        </w:rPr>
        <w:t>die Gestaltung urbaner Räume mit Licht</w:t>
      </w:r>
    </w:p>
    <w:p w:rsidR="00210A2B" w:rsidRPr="00210A2B" w:rsidRDefault="00210A2B" w:rsidP="00210A2B">
      <w:pPr>
        <w:rPr>
          <w:rFonts w:cs="Calibri"/>
          <w:b/>
          <w:szCs w:val="24"/>
          <w:lang w:val="de-DE"/>
        </w:rPr>
      </w:pPr>
    </w:p>
    <w:p w:rsidR="00210A2B" w:rsidRPr="00210A2B" w:rsidRDefault="00756268" w:rsidP="00210A2B">
      <w:pPr>
        <w:rPr>
          <w:rFonts w:cs="Calibri"/>
          <w:b/>
          <w:sz w:val="24"/>
          <w:szCs w:val="24"/>
          <w:lang w:val="de-DE"/>
        </w:rPr>
      </w:pPr>
      <w:r>
        <w:rPr>
          <w:rFonts w:cs="Calibri"/>
          <w:b/>
          <w:sz w:val="24"/>
          <w:szCs w:val="24"/>
          <w:lang w:val="de-DE"/>
        </w:rPr>
        <w:t>Der innovative Baukasten für die Stadtbeleuchtung</w:t>
      </w:r>
    </w:p>
    <w:p w:rsidR="00210A2B" w:rsidRPr="00210A2B" w:rsidRDefault="00210A2B" w:rsidP="00210A2B">
      <w:pPr>
        <w:rPr>
          <w:rFonts w:cs="Calibri"/>
          <w:szCs w:val="22"/>
          <w:lang w:val="de-DE"/>
        </w:rPr>
      </w:pPr>
    </w:p>
    <w:p w:rsidR="00F0372F" w:rsidRDefault="00524430" w:rsidP="00BD620D">
      <w:pPr>
        <w:rPr>
          <w:rFonts w:cs="Calibri"/>
          <w:szCs w:val="22"/>
          <w:lang w:val="de-DE"/>
        </w:rPr>
      </w:pPr>
      <w:r>
        <w:rPr>
          <w:rFonts w:cs="Calibri"/>
          <w:szCs w:val="22"/>
          <w:lang w:val="de-DE"/>
        </w:rPr>
        <w:t xml:space="preserve">Mit einer neuen Generation der erfolgreichen Leuchtenfamilie </w:t>
      </w:r>
      <w:r w:rsidRPr="00BD620D">
        <w:rPr>
          <w:rFonts w:cs="Calibri"/>
          <w:szCs w:val="22"/>
          <w:lang w:val="de-DE"/>
        </w:rPr>
        <w:t xml:space="preserve">CitySoul </w:t>
      </w:r>
      <w:r>
        <w:rPr>
          <w:rFonts w:cs="Calibri"/>
          <w:szCs w:val="22"/>
          <w:lang w:val="de-DE"/>
        </w:rPr>
        <w:t xml:space="preserve">gibt Philips Stadtplanern neue Möglichkeiten bei der Gestaltung urbaner Räume an die Hand. </w:t>
      </w:r>
      <w:r w:rsidR="00F0372F">
        <w:rPr>
          <w:rFonts w:cs="Calibri"/>
          <w:szCs w:val="22"/>
          <w:lang w:val="de-DE"/>
        </w:rPr>
        <w:t xml:space="preserve">Unter dem Namen </w:t>
      </w:r>
      <w:r w:rsidR="00BD620D" w:rsidRPr="00BD620D">
        <w:rPr>
          <w:rFonts w:cs="Calibri"/>
          <w:szCs w:val="22"/>
          <w:lang w:val="de-DE"/>
        </w:rPr>
        <w:t xml:space="preserve">CitySoul gen2 </w:t>
      </w:r>
      <w:r w:rsidR="00CC685A">
        <w:rPr>
          <w:rFonts w:cs="Calibri"/>
          <w:szCs w:val="22"/>
          <w:lang w:val="de-DE"/>
        </w:rPr>
        <w:t>sind</w:t>
      </w:r>
      <w:r w:rsidR="00F0372F">
        <w:rPr>
          <w:rFonts w:cs="Calibri"/>
          <w:szCs w:val="22"/>
          <w:lang w:val="de-DE"/>
        </w:rPr>
        <w:t xml:space="preserve"> Leuchten versammelt, die für eine breite Palette von Anwendungen geeignet sind, denen aber dennoch ein einheitliches Konzept zugrunde</w:t>
      </w:r>
      <w:r w:rsidR="009D042D">
        <w:rPr>
          <w:rFonts w:cs="Calibri"/>
          <w:szCs w:val="22"/>
          <w:lang w:val="de-DE"/>
        </w:rPr>
        <w:t xml:space="preserve"> </w:t>
      </w:r>
      <w:r w:rsidR="00F0372F">
        <w:rPr>
          <w:rFonts w:cs="Calibri"/>
          <w:szCs w:val="22"/>
          <w:lang w:val="de-DE"/>
        </w:rPr>
        <w:t xml:space="preserve">liegt. </w:t>
      </w:r>
      <w:r w:rsidR="00F3447E">
        <w:rPr>
          <w:rFonts w:cs="Calibri"/>
          <w:szCs w:val="22"/>
          <w:lang w:val="de-DE"/>
        </w:rPr>
        <w:t xml:space="preserve">Wie ein Baukasten lässt sich das modulare System nutzen, um </w:t>
      </w:r>
      <w:r w:rsidR="007D3EC9">
        <w:rPr>
          <w:rFonts w:cs="Calibri"/>
          <w:szCs w:val="22"/>
          <w:lang w:val="de-DE"/>
        </w:rPr>
        <w:t xml:space="preserve">in allen städtischen Anwendungsgebieten </w:t>
      </w:r>
      <w:r w:rsidR="00F3447E" w:rsidRPr="00BD620D">
        <w:rPr>
          <w:rFonts w:cs="Calibri"/>
          <w:szCs w:val="22"/>
          <w:lang w:val="de-DE"/>
        </w:rPr>
        <w:t>von den Außenbezirken bis zum Stadtzentrum</w:t>
      </w:r>
      <w:r w:rsidR="00F3447E">
        <w:rPr>
          <w:rFonts w:cs="Calibri"/>
          <w:szCs w:val="22"/>
          <w:lang w:val="de-DE"/>
        </w:rPr>
        <w:t xml:space="preserve"> die jeweils passende Lichtlösung </w:t>
      </w:r>
      <w:r w:rsidR="00CB302A">
        <w:rPr>
          <w:rFonts w:cs="Calibri"/>
          <w:szCs w:val="22"/>
          <w:lang w:val="de-DE"/>
        </w:rPr>
        <w:t>zu verwirklichen</w:t>
      </w:r>
      <w:r w:rsidR="00F3447E">
        <w:rPr>
          <w:rFonts w:cs="Calibri"/>
          <w:szCs w:val="22"/>
          <w:lang w:val="de-DE"/>
        </w:rPr>
        <w:t xml:space="preserve">. </w:t>
      </w:r>
    </w:p>
    <w:p w:rsidR="00F3447E" w:rsidRDefault="00F3447E" w:rsidP="00BD620D">
      <w:pPr>
        <w:rPr>
          <w:rFonts w:cs="Calibri"/>
          <w:szCs w:val="22"/>
          <w:lang w:val="de-DE"/>
        </w:rPr>
      </w:pPr>
    </w:p>
    <w:p w:rsidR="00CC685A" w:rsidRDefault="00C335AA" w:rsidP="00BD620D">
      <w:pPr>
        <w:rPr>
          <w:rFonts w:cs="Calibri"/>
          <w:szCs w:val="22"/>
          <w:lang w:val="de-DE"/>
        </w:rPr>
      </w:pPr>
      <w:r>
        <w:rPr>
          <w:rFonts w:cs="Calibri"/>
          <w:szCs w:val="22"/>
          <w:lang w:val="de-DE"/>
        </w:rPr>
        <w:t xml:space="preserve">Die CitySoul gen2 </w:t>
      </w:r>
      <w:r w:rsidRPr="00BD620D">
        <w:rPr>
          <w:rFonts w:cs="Calibri"/>
          <w:szCs w:val="22"/>
          <w:lang w:val="de-DE"/>
        </w:rPr>
        <w:t>ist in zwei Größen</w:t>
      </w:r>
      <w:r w:rsidR="00D8742D">
        <w:rPr>
          <w:rFonts w:cs="Calibri"/>
          <w:szCs w:val="22"/>
          <w:lang w:val="de-DE"/>
        </w:rPr>
        <w:t>, Mini und Large,</w:t>
      </w:r>
      <w:r w:rsidRPr="00BD620D">
        <w:rPr>
          <w:rFonts w:cs="Calibri"/>
          <w:szCs w:val="22"/>
          <w:lang w:val="de-DE"/>
        </w:rPr>
        <w:t xml:space="preserve"> verfügbar und </w:t>
      </w:r>
      <w:r w:rsidR="00CC685A">
        <w:rPr>
          <w:rFonts w:cs="Calibri"/>
          <w:szCs w:val="22"/>
          <w:lang w:val="de-DE"/>
        </w:rPr>
        <w:t xml:space="preserve">lässt sich mit einer </w:t>
      </w:r>
      <w:r w:rsidR="00CC685A" w:rsidRPr="00BD620D">
        <w:rPr>
          <w:rFonts w:cs="Calibri"/>
          <w:szCs w:val="22"/>
          <w:lang w:val="de-DE"/>
        </w:rPr>
        <w:t>breite</w:t>
      </w:r>
      <w:r w:rsidR="00CC685A">
        <w:rPr>
          <w:rFonts w:cs="Calibri"/>
          <w:szCs w:val="22"/>
          <w:lang w:val="de-DE"/>
        </w:rPr>
        <w:t>n</w:t>
      </w:r>
      <w:r w:rsidR="00CC685A" w:rsidRPr="00BD620D">
        <w:rPr>
          <w:rFonts w:cs="Calibri"/>
          <w:szCs w:val="22"/>
          <w:lang w:val="de-DE"/>
        </w:rPr>
        <w:t xml:space="preserve"> Auswahl an Masten und</w:t>
      </w:r>
      <w:r w:rsidR="00CC685A">
        <w:rPr>
          <w:rFonts w:cs="Calibri"/>
          <w:szCs w:val="22"/>
          <w:lang w:val="de-DE"/>
        </w:rPr>
        <w:t xml:space="preserve"> Auslegern jeder Stilrichtung</w:t>
      </w:r>
      <w:r w:rsidR="009D042D">
        <w:rPr>
          <w:rFonts w:cs="Calibri"/>
          <w:szCs w:val="22"/>
          <w:lang w:val="de-DE"/>
        </w:rPr>
        <w:t>,</w:t>
      </w:r>
      <w:r w:rsidR="00CC685A">
        <w:rPr>
          <w:rFonts w:cs="Calibri"/>
          <w:szCs w:val="22"/>
          <w:lang w:val="de-DE"/>
        </w:rPr>
        <w:t xml:space="preserve"> </w:t>
      </w:r>
      <w:r w:rsidR="00CC685A" w:rsidRPr="00BD620D">
        <w:rPr>
          <w:rFonts w:cs="Calibri"/>
          <w:szCs w:val="22"/>
          <w:lang w:val="de-DE"/>
        </w:rPr>
        <w:t xml:space="preserve">modern oder klassisch, einfach oder </w:t>
      </w:r>
      <w:r w:rsidR="00CC685A">
        <w:rPr>
          <w:rFonts w:cs="Calibri"/>
          <w:szCs w:val="22"/>
          <w:lang w:val="de-DE"/>
        </w:rPr>
        <w:t>d</w:t>
      </w:r>
      <w:r w:rsidR="00CC685A" w:rsidRPr="00BD620D">
        <w:rPr>
          <w:rFonts w:cs="Calibri"/>
          <w:szCs w:val="22"/>
          <w:lang w:val="de-DE"/>
        </w:rPr>
        <w:t>oppelt</w:t>
      </w:r>
      <w:r w:rsidR="009D042D">
        <w:rPr>
          <w:rFonts w:cs="Calibri"/>
          <w:szCs w:val="22"/>
          <w:lang w:val="de-DE"/>
        </w:rPr>
        <w:t>,</w:t>
      </w:r>
      <w:r w:rsidR="00CC685A">
        <w:rPr>
          <w:rFonts w:cs="Calibri"/>
          <w:szCs w:val="22"/>
          <w:lang w:val="de-DE"/>
        </w:rPr>
        <w:t xml:space="preserve"> kombinieren. Sie ist</w:t>
      </w:r>
      <w:r w:rsidR="00CC685A" w:rsidRPr="00BD620D">
        <w:rPr>
          <w:rFonts w:cs="Calibri"/>
          <w:szCs w:val="22"/>
          <w:lang w:val="de-DE"/>
        </w:rPr>
        <w:t xml:space="preserve"> </w:t>
      </w:r>
      <w:r w:rsidRPr="00BD620D">
        <w:rPr>
          <w:rFonts w:cs="Calibri"/>
          <w:szCs w:val="22"/>
          <w:lang w:val="de-DE"/>
        </w:rPr>
        <w:t>für Ansatzmontagen, Aufsatzmontagen, Seilmontage</w:t>
      </w:r>
      <w:r w:rsidR="00021955">
        <w:rPr>
          <w:rFonts w:cs="Calibri"/>
          <w:szCs w:val="22"/>
          <w:lang w:val="de-DE"/>
        </w:rPr>
        <w:t>n</w:t>
      </w:r>
      <w:r w:rsidRPr="00BD620D">
        <w:rPr>
          <w:rFonts w:cs="Calibri"/>
          <w:szCs w:val="22"/>
          <w:lang w:val="de-DE"/>
        </w:rPr>
        <w:t xml:space="preserve"> und abgehängte Montagen</w:t>
      </w:r>
      <w:r w:rsidR="00CC685A" w:rsidRPr="00CC685A">
        <w:rPr>
          <w:rFonts w:cs="Calibri"/>
          <w:szCs w:val="22"/>
          <w:lang w:val="de-DE"/>
        </w:rPr>
        <w:t xml:space="preserve"> </w:t>
      </w:r>
      <w:r w:rsidR="00CC685A" w:rsidRPr="00BD620D">
        <w:rPr>
          <w:rFonts w:cs="Calibri"/>
          <w:szCs w:val="22"/>
          <w:lang w:val="de-DE"/>
        </w:rPr>
        <w:t>geeignet</w:t>
      </w:r>
      <w:r w:rsidR="00CC685A">
        <w:rPr>
          <w:rFonts w:cs="Calibri"/>
          <w:szCs w:val="22"/>
          <w:lang w:val="de-DE"/>
        </w:rPr>
        <w:t xml:space="preserve"> und bietet somit m</w:t>
      </w:r>
      <w:r w:rsidR="00CC685A" w:rsidRPr="00BD620D">
        <w:rPr>
          <w:rFonts w:cs="Calibri"/>
          <w:szCs w:val="22"/>
          <w:lang w:val="de-DE"/>
        </w:rPr>
        <w:t xml:space="preserve">aximale Flexibilität </w:t>
      </w:r>
      <w:r w:rsidR="00CC685A">
        <w:rPr>
          <w:rFonts w:cs="Calibri"/>
          <w:szCs w:val="22"/>
          <w:lang w:val="de-DE"/>
        </w:rPr>
        <w:t xml:space="preserve">bei </w:t>
      </w:r>
      <w:r w:rsidR="00021955">
        <w:rPr>
          <w:rFonts w:cs="Calibri"/>
          <w:szCs w:val="22"/>
          <w:lang w:val="de-DE"/>
        </w:rPr>
        <w:t>d</w:t>
      </w:r>
      <w:r w:rsidR="00CC685A">
        <w:rPr>
          <w:rFonts w:cs="Calibri"/>
          <w:szCs w:val="22"/>
          <w:lang w:val="de-DE"/>
        </w:rPr>
        <w:t>er</w:t>
      </w:r>
      <w:r w:rsidR="00CC685A" w:rsidRPr="00BD620D">
        <w:rPr>
          <w:rFonts w:cs="Calibri"/>
          <w:szCs w:val="22"/>
          <w:lang w:val="de-DE"/>
        </w:rPr>
        <w:t xml:space="preserve"> kreative</w:t>
      </w:r>
      <w:r w:rsidR="00CC685A">
        <w:rPr>
          <w:rFonts w:cs="Calibri"/>
          <w:szCs w:val="22"/>
          <w:lang w:val="de-DE"/>
        </w:rPr>
        <w:t>n</w:t>
      </w:r>
      <w:r w:rsidR="00CC685A" w:rsidRPr="00BD620D">
        <w:rPr>
          <w:rFonts w:cs="Calibri"/>
          <w:szCs w:val="22"/>
          <w:lang w:val="de-DE"/>
        </w:rPr>
        <w:t xml:space="preserve"> Gestaltung städtische</w:t>
      </w:r>
      <w:r w:rsidR="00CC685A">
        <w:rPr>
          <w:rFonts w:cs="Calibri"/>
          <w:szCs w:val="22"/>
          <w:lang w:val="de-DE"/>
        </w:rPr>
        <w:t>r</w:t>
      </w:r>
      <w:r w:rsidR="00CC685A" w:rsidRPr="00BD620D">
        <w:rPr>
          <w:rFonts w:cs="Calibri"/>
          <w:szCs w:val="22"/>
          <w:lang w:val="de-DE"/>
        </w:rPr>
        <w:t xml:space="preserve"> Beleuchtung</w:t>
      </w:r>
      <w:r w:rsidR="00CC685A">
        <w:rPr>
          <w:rFonts w:cs="Calibri"/>
          <w:szCs w:val="22"/>
          <w:lang w:val="de-DE"/>
        </w:rPr>
        <w:t>. Ihr flaches</w:t>
      </w:r>
      <w:r w:rsidR="00021955">
        <w:rPr>
          <w:rFonts w:cs="Calibri"/>
          <w:szCs w:val="22"/>
          <w:lang w:val="de-DE"/>
        </w:rPr>
        <w:t>,</w:t>
      </w:r>
      <w:r w:rsidR="00CC685A">
        <w:rPr>
          <w:rFonts w:cs="Calibri"/>
          <w:szCs w:val="22"/>
          <w:lang w:val="de-DE"/>
        </w:rPr>
        <w:t xml:space="preserve"> rundes und unaufdringliches </w:t>
      </w:r>
      <w:r w:rsidR="00BD620D" w:rsidRPr="00BD620D">
        <w:rPr>
          <w:rFonts w:cs="Calibri"/>
          <w:szCs w:val="22"/>
          <w:lang w:val="de-DE"/>
        </w:rPr>
        <w:t xml:space="preserve">Design </w:t>
      </w:r>
      <w:r w:rsidR="00CC685A">
        <w:rPr>
          <w:rFonts w:cs="Calibri"/>
          <w:szCs w:val="22"/>
          <w:lang w:val="de-DE"/>
        </w:rPr>
        <w:t xml:space="preserve">passt sich perfekt ins </w:t>
      </w:r>
      <w:r w:rsidR="00BD620D" w:rsidRPr="00BD620D">
        <w:rPr>
          <w:rFonts w:cs="Calibri"/>
          <w:szCs w:val="22"/>
          <w:lang w:val="de-DE"/>
        </w:rPr>
        <w:t>Stadtbild ein</w:t>
      </w:r>
      <w:r w:rsidR="00CC685A">
        <w:rPr>
          <w:rFonts w:cs="Calibri"/>
          <w:szCs w:val="22"/>
          <w:lang w:val="de-DE"/>
        </w:rPr>
        <w:t xml:space="preserve"> – </w:t>
      </w:r>
      <w:r w:rsidR="00BD620D" w:rsidRPr="00BD620D">
        <w:rPr>
          <w:rFonts w:cs="Calibri"/>
          <w:szCs w:val="22"/>
          <w:lang w:val="de-DE"/>
        </w:rPr>
        <w:t>elegant</w:t>
      </w:r>
      <w:r w:rsidR="00CC685A">
        <w:rPr>
          <w:rFonts w:cs="Calibri"/>
          <w:szCs w:val="22"/>
          <w:lang w:val="de-DE"/>
        </w:rPr>
        <w:t>, aber</w:t>
      </w:r>
      <w:r w:rsidR="00BD620D" w:rsidRPr="00BD620D">
        <w:rPr>
          <w:rFonts w:cs="Calibri"/>
          <w:szCs w:val="22"/>
          <w:lang w:val="de-DE"/>
        </w:rPr>
        <w:t xml:space="preserve"> diskret. </w:t>
      </w:r>
      <w:r w:rsidR="00445D4F">
        <w:rPr>
          <w:rFonts w:cs="Calibri"/>
          <w:szCs w:val="22"/>
          <w:lang w:val="de-DE"/>
        </w:rPr>
        <w:t xml:space="preserve">Haupt- oder Nebenstraßen, Wohn- oder Gewerbegebiete, Radwege oder Parks – durch die </w:t>
      </w:r>
      <w:r w:rsidR="00A81EAF">
        <w:rPr>
          <w:rFonts w:cs="Calibri"/>
          <w:szCs w:val="22"/>
          <w:lang w:val="de-DE"/>
        </w:rPr>
        <w:t xml:space="preserve">Möglichkeit, alle </w:t>
      </w:r>
      <w:r w:rsidR="002251DC">
        <w:rPr>
          <w:rFonts w:cs="Calibri"/>
          <w:szCs w:val="22"/>
          <w:lang w:val="de-DE"/>
        </w:rPr>
        <w:t>Bereiche</w:t>
      </w:r>
      <w:r w:rsidR="00A81EAF">
        <w:rPr>
          <w:rFonts w:cs="Calibri"/>
          <w:szCs w:val="22"/>
          <w:lang w:val="de-DE"/>
        </w:rPr>
        <w:t xml:space="preserve"> mit Leuchten einer einzigen Familie auszustatten, </w:t>
      </w:r>
      <w:r w:rsidR="00021955">
        <w:rPr>
          <w:rFonts w:cs="Calibri"/>
          <w:szCs w:val="22"/>
          <w:lang w:val="de-DE"/>
        </w:rPr>
        <w:t>wird ein</w:t>
      </w:r>
      <w:r w:rsidR="005142FF">
        <w:rPr>
          <w:rFonts w:cs="Calibri"/>
          <w:szCs w:val="22"/>
          <w:lang w:val="de-DE"/>
        </w:rPr>
        <w:t xml:space="preserve"> einheitliche</w:t>
      </w:r>
      <w:r w:rsidR="00021955">
        <w:rPr>
          <w:rFonts w:cs="Calibri"/>
          <w:szCs w:val="22"/>
          <w:lang w:val="de-DE"/>
        </w:rPr>
        <w:t>r Gesamteindruck ohne Brüche erreicht</w:t>
      </w:r>
      <w:r w:rsidR="00A81EAF">
        <w:rPr>
          <w:rFonts w:cs="Calibri"/>
          <w:szCs w:val="22"/>
          <w:lang w:val="de-DE"/>
        </w:rPr>
        <w:t xml:space="preserve">. </w:t>
      </w:r>
    </w:p>
    <w:p w:rsidR="00445D4F" w:rsidRDefault="00445D4F" w:rsidP="00BD620D">
      <w:pPr>
        <w:rPr>
          <w:rFonts w:cs="Calibri"/>
          <w:szCs w:val="22"/>
          <w:lang w:val="de-DE"/>
        </w:rPr>
      </w:pPr>
    </w:p>
    <w:p w:rsidR="00A16DDE" w:rsidRPr="00BD620D" w:rsidRDefault="002251DC" w:rsidP="00A16DDE">
      <w:pPr>
        <w:rPr>
          <w:rFonts w:cs="Calibri"/>
          <w:szCs w:val="22"/>
          <w:lang w:val="de-DE"/>
        </w:rPr>
      </w:pPr>
      <w:r>
        <w:rPr>
          <w:rFonts w:cs="Calibri"/>
          <w:szCs w:val="22"/>
          <w:lang w:val="de-DE"/>
        </w:rPr>
        <w:t xml:space="preserve">Ihre vielseitige Verwendbarkeit verdankt </w:t>
      </w:r>
      <w:r w:rsidR="00695D86" w:rsidRPr="00BD620D">
        <w:rPr>
          <w:rFonts w:cs="Calibri"/>
          <w:szCs w:val="22"/>
          <w:lang w:val="de-DE"/>
        </w:rPr>
        <w:t xml:space="preserve">die CitySoul gen2 </w:t>
      </w:r>
      <w:r>
        <w:rPr>
          <w:rFonts w:cs="Calibri"/>
          <w:szCs w:val="22"/>
          <w:lang w:val="de-DE"/>
        </w:rPr>
        <w:t>auch der großen Auswahl an Optiken</w:t>
      </w:r>
      <w:r w:rsidRPr="002251DC">
        <w:rPr>
          <w:rFonts w:cs="Calibri"/>
          <w:szCs w:val="22"/>
          <w:lang w:val="de-DE"/>
        </w:rPr>
        <w:t xml:space="preserve"> </w:t>
      </w:r>
      <w:r w:rsidR="009D042D">
        <w:rPr>
          <w:rFonts w:cs="Calibri"/>
          <w:szCs w:val="22"/>
          <w:lang w:val="de-DE"/>
        </w:rPr>
        <w:t>und</w:t>
      </w:r>
      <w:r w:rsidR="00D8742D">
        <w:rPr>
          <w:rFonts w:cs="Calibri"/>
          <w:szCs w:val="22"/>
          <w:lang w:val="de-DE"/>
        </w:rPr>
        <w:t>,</w:t>
      </w:r>
      <w:r w:rsidR="009D042D">
        <w:rPr>
          <w:rFonts w:cs="Calibri"/>
          <w:szCs w:val="22"/>
          <w:lang w:val="de-DE"/>
        </w:rPr>
        <w:t xml:space="preserve"> </w:t>
      </w:r>
      <w:r w:rsidR="00D8742D">
        <w:rPr>
          <w:rFonts w:cs="Calibri"/>
          <w:szCs w:val="22"/>
          <w:lang w:val="de-DE"/>
        </w:rPr>
        <w:t xml:space="preserve">je nach Ausführung, </w:t>
      </w:r>
      <w:r w:rsidR="009D042D">
        <w:rPr>
          <w:rFonts w:cs="Calibri"/>
          <w:szCs w:val="22"/>
          <w:lang w:val="de-DE"/>
        </w:rPr>
        <w:t>Anschlussleistungen zwischen 14 und 138 Watt</w:t>
      </w:r>
      <w:r w:rsidR="007B7B75">
        <w:rPr>
          <w:rFonts w:cs="Calibri"/>
          <w:szCs w:val="22"/>
          <w:lang w:val="de-DE"/>
        </w:rPr>
        <w:t xml:space="preserve"> </w:t>
      </w:r>
      <w:r w:rsidR="00F8488C">
        <w:rPr>
          <w:rFonts w:cs="Calibri"/>
          <w:szCs w:val="22"/>
          <w:lang w:val="de-DE"/>
        </w:rPr>
        <w:t xml:space="preserve">mit </w:t>
      </w:r>
      <w:r w:rsidR="007B7B75">
        <w:rPr>
          <w:rFonts w:cs="Calibri"/>
          <w:szCs w:val="22"/>
          <w:lang w:val="de-DE"/>
        </w:rPr>
        <w:t>Lichtströmen von 1.550 bis 14.800 Lumen,</w:t>
      </w:r>
      <w:r>
        <w:rPr>
          <w:rFonts w:cs="Calibri"/>
          <w:szCs w:val="22"/>
          <w:lang w:val="de-DE"/>
        </w:rPr>
        <w:t xml:space="preserve"> mit denen sie erhältlich ist</w:t>
      </w:r>
      <w:r w:rsidR="00695D86">
        <w:rPr>
          <w:rFonts w:cs="Calibri"/>
          <w:szCs w:val="22"/>
          <w:lang w:val="de-DE"/>
        </w:rPr>
        <w:t xml:space="preserve">. </w:t>
      </w:r>
      <w:r w:rsidR="00A16DDE">
        <w:rPr>
          <w:rFonts w:cs="Calibri"/>
          <w:szCs w:val="22"/>
          <w:lang w:val="de-DE"/>
        </w:rPr>
        <w:t xml:space="preserve">So lässt sich die Beleuchtung </w:t>
      </w:r>
      <w:r w:rsidR="00A16DDE" w:rsidRPr="00BD620D">
        <w:rPr>
          <w:rFonts w:cs="Calibri"/>
          <w:szCs w:val="22"/>
          <w:lang w:val="de-DE"/>
        </w:rPr>
        <w:t xml:space="preserve">exakt </w:t>
      </w:r>
      <w:r w:rsidR="00A16DDE">
        <w:rPr>
          <w:rFonts w:cs="Calibri"/>
          <w:szCs w:val="22"/>
          <w:lang w:val="de-DE"/>
        </w:rPr>
        <w:t xml:space="preserve">an alle </w:t>
      </w:r>
      <w:r w:rsidR="00A16DDE" w:rsidRPr="00BD620D">
        <w:rPr>
          <w:rFonts w:cs="Calibri"/>
          <w:szCs w:val="22"/>
          <w:lang w:val="de-DE"/>
        </w:rPr>
        <w:t>Erfordernisse</w:t>
      </w:r>
      <w:r w:rsidR="00A16DDE">
        <w:rPr>
          <w:rFonts w:cs="Calibri"/>
          <w:szCs w:val="22"/>
          <w:lang w:val="de-DE"/>
        </w:rPr>
        <w:t xml:space="preserve"> a</w:t>
      </w:r>
      <w:r w:rsidR="00A16DDE" w:rsidRPr="00BD620D">
        <w:rPr>
          <w:rFonts w:cs="Calibri"/>
          <w:szCs w:val="22"/>
          <w:lang w:val="de-DE"/>
        </w:rPr>
        <w:t>npass</w:t>
      </w:r>
      <w:r w:rsidR="00A16DDE">
        <w:rPr>
          <w:rFonts w:cs="Calibri"/>
          <w:szCs w:val="22"/>
          <w:lang w:val="de-DE"/>
        </w:rPr>
        <w:t xml:space="preserve">en. </w:t>
      </w:r>
      <w:r w:rsidR="00A81EAF">
        <w:rPr>
          <w:rFonts w:cs="Calibri"/>
          <w:szCs w:val="22"/>
          <w:lang w:val="de-DE"/>
        </w:rPr>
        <w:t xml:space="preserve">Als </w:t>
      </w:r>
      <w:r w:rsidR="00BD620D" w:rsidRPr="00BD620D">
        <w:rPr>
          <w:rFonts w:cs="Calibri"/>
          <w:szCs w:val="22"/>
          <w:lang w:val="de-DE"/>
        </w:rPr>
        <w:t>LED-</w:t>
      </w:r>
      <w:r w:rsidR="00A81EAF">
        <w:rPr>
          <w:rFonts w:cs="Calibri"/>
          <w:szCs w:val="22"/>
          <w:lang w:val="de-DE"/>
        </w:rPr>
        <w:t>Lösung</w:t>
      </w:r>
      <w:r w:rsidR="00BD620D" w:rsidRPr="00BD620D">
        <w:rPr>
          <w:rFonts w:cs="Calibri"/>
          <w:szCs w:val="22"/>
          <w:lang w:val="de-DE"/>
        </w:rPr>
        <w:t xml:space="preserve"> ist </w:t>
      </w:r>
      <w:r w:rsidR="00A16DDE">
        <w:rPr>
          <w:rFonts w:cs="Calibri"/>
          <w:szCs w:val="22"/>
          <w:lang w:val="de-DE"/>
        </w:rPr>
        <w:t>sie</w:t>
      </w:r>
      <w:r w:rsidR="00F8488C">
        <w:rPr>
          <w:rFonts w:cs="Calibri"/>
          <w:szCs w:val="22"/>
          <w:lang w:val="de-DE"/>
        </w:rPr>
        <w:t xml:space="preserve"> mit bis zu 133 Lumen</w:t>
      </w:r>
      <w:r w:rsidR="00F8488C" w:rsidRPr="00BD620D">
        <w:rPr>
          <w:rFonts w:cs="Calibri"/>
          <w:szCs w:val="22"/>
          <w:lang w:val="de-DE"/>
        </w:rPr>
        <w:t xml:space="preserve"> </w:t>
      </w:r>
      <w:r w:rsidR="00BD620D" w:rsidRPr="00BD620D">
        <w:rPr>
          <w:rFonts w:cs="Calibri"/>
          <w:szCs w:val="22"/>
          <w:lang w:val="de-DE"/>
        </w:rPr>
        <w:t xml:space="preserve">besonders </w:t>
      </w:r>
      <w:r w:rsidR="00F8488C">
        <w:rPr>
          <w:rFonts w:cs="Calibri"/>
          <w:szCs w:val="22"/>
          <w:lang w:val="de-DE"/>
        </w:rPr>
        <w:t xml:space="preserve">pro Watt </w:t>
      </w:r>
      <w:r w:rsidR="00BD620D" w:rsidRPr="00BD620D">
        <w:rPr>
          <w:rFonts w:cs="Calibri"/>
          <w:szCs w:val="22"/>
          <w:lang w:val="de-DE"/>
        </w:rPr>
        <w:t>effizient</w:t>
      </w:r>
      <w:r>
        <w:rPr>
          <w:rFonts w:cs="Calibri"/>
          <w:szCs w:val="22"/>
          <w:lang w:val="de-DE"/>
        </w:rPr>
        <w:t>,</w:t>
      </w:r>
      <w:r w:rsidR="00BD620D" w:rsidRPr="00BD620D">
        <w:rPr>
          <w:rFonts w:cs="Calibri"/>
          <w:szCs w:val="22"/>
          <w:lang w:val="de-DE"/>
        </w:rPr>
        <w:t xml:space="preserve"> und </w:t>
      </w:r>
      <w:r w:rsidR="00A81EAF">
        <w:rPr>
          <w:rFonts w:cs="Calibri"/>
          <w:szCs w:val="22"/>
          <w:lang w:val="de-DE"/>
        </w:rPr>
        <w:t xml:space="preserve">durch ihre lange Lebensdauer von 100.000 Stunden </w:t>
      </w:r>
      <w:r>
        <w:rPr>
          <w:rFonts w:cs="Calibri"/>
          <w:szCs w:val="22"/>
          <w:lang w:val="de-DE"/>
        </w:rPr>
        <w:t xml:space="preserve">zeichnet sie sich durch niedrige </w:t>
      </w:r>
      <w:r w:rsidR="00A81EAF">
        <w:rPr>
          <w:rFonts w:cs="Calibri"/>
          <w:szCs w:val="22"/>
          <w:lang w:val="de-DE"/>
        </w:rPr>
        <w:t>Wartungs- und Betriebskosten</w:t>
      </w:r>
      <w:r>
        <w:rPr>
          <w:rFonts w:cs="Calibri"/>
          <w:szCs w:val="22"/>
          <w:lang w:val="de-DE"/>
        </w:rPr>
        <w:t xml:space="preserve"> aus</w:t>
      </w:r>
      <w:r w:rsidR="00A81EAF">
        <w:rPr>
          <w:rFonts w:cs="Calibri"/>
          <w:szCs w:val="22"/>
          <w:lang w:val="de-DE"/>
        </w:rPr>
        <w:t>.</w:t>
      </w:r>
      <w:r w:rsidR="00695D86">
        <w:rPr>
          <w:rFonts w:cs="Calibri"/>
          <w:szCs w:val="22"/>
          <w:lang w:val="de-DE"/>
        </w:rPr>
        <w:t xml:space="preserve"> </w:t>
      </w:r>
    </w:p>
    <w:p w:rsidR="00210A2B" w:rsidRDefault="00210A2B" w:rsidP="00BD620D">
      <w:pPr>
        <w:rPr>
          <w:rFonts w:cs="Calibri"/>
          <w:szCs w:val="22"/>
          <w:lang w:val="de-DE"/>
        </w:rPr>
      </w:pPr>
    </w:p>
    <w:p w:rsidR="00FA4636" w:rsidRPr="00C97C76" w:rsidRDefault="00A16DDE" w:rsidP="00A16DDE">
      <w:pPr>
        <w:rPr>
          <w:rFonts w:cs="Calibri"/>
          <w:szCs w:val="22"/>
          <w:lang w:val="de-DE" w:eastAsia="en-US"/>
        </w:rPr>
      </w:pPr>
      <w:r>
        <w:rPr>
          <w:rFonts w:cs="Calibri"/>
          <w:szCs w:val="22"/>
          <w:lang w:val="de-DE"/>
        </w:rPr>
        <w:t xml:space="preserve">Weiteres Sparpotenzial ergibt sich durch die einfache Einbindung in verschiedene </w:t>
      </w:r>
      <w:r w:rsidRPr="00BD620D">
        <w:rPr>
          <w:rFonts w:cs="Calibri"/>
          <w:szCs w:val="22"/>
          <w:lang w:val="de-DE"/>
        </w:rPr>
        <w:t>Lichtregelsysteme</w:t>
      </w:r>
      <w:r>
        <w:rPr>
          <w:rFonts w:cs="Calibri"/>
          <w:szCs w:val="22"/>
          <w:lang w:val="de-DE"/>
        </w:rPr>
        <w:t xml:space="preserve">, etwa </w:t>
      </w:r>
      <w:r w:rsidR="0094567F">
        <w:rPr>
          <w:rFonts w:cs="Calibri"/>
          <w:szCs w:val="22"/>
          <w:lang w:val="de-DE"/>
        </w:rPr>
        <w:t>das</w:t>
      </w:r>
      <w:r>
        <w:rPr>
          <w:rFonts w:cs="Calibri"/>
          <w:szCs w:val="22"/>
          <w:lang w:val="de-DE"/>
        </w:rPr>
        <w:t xml:space="preserve"> </w:t>
      </w:r>
      <w:r w:rsidRPr="00A16DDE">
        <w:rPr>
          <w:rFonts w:cs="Calibri"/>
          <w:szCs w:val="22"/>
          <w:lang w:val="de-DE" w:eastAsia="en-US"/>
        </w:rPr>
        <w:t xml:space="preserve">drahtlos </w:t>
      </w:r>
      <w:r>
        <w:rPr>
          <w:rFonts w:cs="Calibri"/>
          <w:szCs w:val="22"/>
          <w:lang w:val="de-DE" w:eastAsia="en-US"/>
        </w:rPr>
        <w:t>steuerbare</w:t>
      </w:r>
      <w:r w:rsidRPr="00A16DDE">
        <w:rPr>
          <w:rFonts w:cs="Calibri"/>
          <w:szCs w:val="22"/>
          <w:lang w:val="de-DE" w:eastAsia="en-US"/>
        </w:rPr>
        <w:t xml:space="preserve"> Lichtmanagementsystem CityTouch</w:t>
      </w:r>
      <w:r>
        <w:rPr>
          <w:rFonts w:cs="Calibri"/>
          <w:szCs w:val="22"/>
          <w:lang w:val="de-DE" w:eastAsia="en-US"/>
        </w:rPr>
        <w:t xml:space="preserve">, das es ermöglicht, die </w:t>
      </w:r>
      <w:r w:rsidRPr="00A16DDE">
        <w:rPr>
          <w:rFonts w:cs="Calibri"/>
          <w:szCs w:val="22"/>
          <w:lang w:val="de-DE" w:eastAsia="en-US"/>
        </w:rPr>
        <w:t>Energiekosten um bis zu 80</w:t>
      </w:r>
      <w:r>
        <w:rPr>
          <w:rFonts w:cs="Calibri"/>
          <w:szCs w:val="22"/>
          <w:lang w:val="de-DE" w:eastAsia="en-US"/>
        </w:rPr>
        <w:t xml:space="preserve"> Prozent zu </w:t>
      </w:r>
      <w:r w:rsidRPr="00A16DDE">
        <w:rPr>
          <w:rFonts w:cs="Calibri"/>
          <w:szCs w:val="22"/>
          <w:lang w:val="de-DE" w:eastAsia="en-US"/>
        </w:rPr>
        <w:t>senken</w:t>
      </w:r>
      <w:r w:rsidR="00CB302A">
        <w:rPr>
          <w:rFonts w:cs="Calibri"/>
          <w:szCs w:val="22"/>
          <w:lang w:val="de-DE" w:eastAsia="en-US"/>
        </w:rPr>
        <w:t xml:space="preserve">, </w:t>
      </w:r>
      <w:r>
        <w:rPr>
          <w:rFonts w:cs="Calibri"/>
          <w:szCs w:val="22"/>
          <w:lang w:val="de-DE" w:eastAsia="en-US"/>
        </w:rPr>
        <w:t xml:space="preserve">ohne </w:t>
      </w:r>
      <w:r w:rsidR="00CB302A">
        <w:rPr>
          <w:rFonts w:cs="Calibri"/>
          <w:szCs w:val="22"/>
          <w:lang w:val="de-DE" w:eastAsia="en-US"/>
        </w:rPr>
        <w:t xml:space="preserve">dafür </w:t>
      </w:r>
      <w:r>
        <w:rPr>
          <w:rFonts w:cs="Calibri"/>
          <w:szCs w:val="22"/>
          <w:lang w:val="de-DE" w:eastAsia="en-US"/>
        </w:rPr>
        <w:t xml:space="preserve">Zusatzmodule </w:t>
      </w:r>
      <w:r w:rsidR="00CB302A">
        <w:rPr>
          <w:rFonts w:cs="Calibri"/>
          <w:szCs w:val="22"/>
          <w:lang w:val="de-DE" w:eastAsia="en-US"/>
        </w:rPr>
        <w:t>anschaffen oder</w:t>
      </w:r>
      <w:r>
        <w:rPr>
          <w:rFonts w:cs="Calibri"/>
          <w:szCs w:val="22"/>
          <w:lang w:val="de-DE" w:eastAsia="en-US"/>
        </w:rPr>
        <w:t xml:space="preserve"> </w:t>
      </w:r>
      <w:r w:rsidRPr="00A16DDE">
        <w:rPr>
          <w:rFonts w:cs="Calibri"/>
          <w:szCs w:val="22"/>
          <w:lang w:val="de-DE" w:eastAsia="en-US"/>
        </w:rPr>
        <w:t>zusätzlichen Installationsaufwand</w:t>
      </w:r>
      <w:r w:rsidR="00CB302A">
        <w:rPr>
          <w:rFonts w:cs="Calibri"/>
          <w:szCs w:val="22"/>
          <w:lang w:val="de-DE" w:eastAsia="en-US"/>
        </w:rPr>
        <w:t xml:space="preserve"> betreiben</w:t>
      </w:r>
      <w:r w:rsidR="004F53EF" w:rsidRPr="004F53EF">
        <w:rPr>
          <w:rFonts w:cs="Calibri"/>
          <w:szCs w:val="22"/>
          <w:lang w:val="de-DE" w:eastAsia="en-US"/>
        </w:rPr>
        <w:t xml:space="preserve"> </w:t>
      </w:r>
      <w:r w:rsidR="004F53EF">
        <w:rPr>
          <w:rFonts w:cs="Calibri"/>
          <w:szCs w:val="22"/>
          <w:lang w:val="de-DE" w:eastAsia="en-US"/>
        </w:rPr>
        <w:t>zu müssen</w:t>
      </w:r>
      <w:r w:rsidRPr="00A16DDE">
        <w:rPr>
          <w:rFonts w:cs="Calibri"/>
          <w:szCs w:val="22"/>
          <w:lang w:val="de-DE" w:eastAsia="en-US"/>
        </w:rPr>
        <w:t>.</w:t>
      </w:r>
      <w:r w:rsidRPr="00C97C76">
        <w:rPr>
          <w:rFonts w:cs="Calibri"/>
          <w:szCs w:val="22"/>
          <w:lang w:val="de-DE" w:eastAsia="en-US"/>
        </w:rPr>
        <w:t xml:space="preserve"> </w:t>
      </w:r>
    </w:p>
    <w:p w:rsidR="00FA4636" w:rsidRPr="004821C5" w:rsidRDefault="00FA4636" w:rsidP="00C262C1">
      <w:pPr>
        <w:rPr>
          <w:rFonts w:cs="Calibri"/>
          <w:szCs w:val="22"/>
          <w:lang w:val="de-DE" w:eastAsia="en-US"/>
        </w:rPr>
      </w:pPr>
    </w:p>
    <w:p w:rsidR="00D964F8" w:rsidRDefault="007F31F5" w:rsidP="00D964F8">
      <w:pPr>
        <w:ind w:right="-567"/>
        <w:rPr>
          <w:rFonts w:cs="Arial"/>
          <w:szCs w:val="22"/>
          <w:u w:val="single"/>
          <w:lang w:val="de-DE"/>
        </w:rPr>
      </w:pPr>
      <w:r w:rsidRPr="007F31F5">
        <w:rPr>
          <w:rFonts w:cs="Arial"/>
          <w:szCs w:val="22"/>
          <w:u w:val="single"/>
          <w:lang w:val="de-DE"/>
        </w:rPr>
        <w:t>Weitere Informationen für Journalisten</w:t>
      </w:r>
      <w:r w:rsidR="00D964F8">
        <w:rPr>
          <w:rFonts w:cs="Arial"/>
          <w:szCs w:val="22"/>
          <w:u w:val="single"/>
          <w:lang w:val="de-DE"/>
        </w:rPr>
        <w:t>:</w:t>
      </w:r>
    </w:p>
    <w:p w:rsidR="003A73B2" w:rsidRPr="005F0819" w:rsidRDefault="003A73B2" w:rsidP="003A73B2">
      <w:pPr>
        <w:ind w:right="-567"/>
        <w:rPr>
          <w:rFonts w:cs="Arial"/>
          <w:szCs w:val="22"/>
          <w:lang w:val="de-DE"/>
        </w:rPr>
      </w:pPr>
      <w:r w:rsidRPr="005F0819">
        <w:rPr>
          <w:rFonts w:cs="Arial"/>
          <w:szCs w:val="22"/>
          <w:lang w:val="de-DE"/>
        </w:rPr>
        <w:t>Martha Salaquarda, MA</w:t>
      </w:r>
    </w:p>
    <w:p w:rsidR="003A73B2" w:rsidRPr="007F31F5" w:rsidRDefault="003A73B2" w:rsidP="003A73B2">
      <w:pPr>
        <w:ind w:right="-567"/>
        <w:rPr>
          <w:rFonts w:cs="Arial"/>
          <w:szCs w:val="22"/>
        </w:rPr>
      </w:pPr>
      <w:r w:rsidRPr="007F31F5">
        <w:rPr>
          <w:rFonts w:cs="Arial"/>
          <w:szCs w:val="22"/>
        </w:rPr>
        <w:t>Communications Manager Philips Lighting</w:t>
      </w:r>
    </w:p>
    <w:p w:rsidR="003A73B2" w:rsidRPr="005F0819" w:rsidRDefault="003A73B2" w:rsidP="003A73B2">
      <w:pPr>
        <w:ind w:right="-567"/>
        <w:rPr>
          <w:rFonts w:cs="Arial"/>
          <w:szCs w:val="22"/>
        </w:rPr>
      </w:pPr>
      <w:r w:rsidRPr="005F0819">
        <w:rPr>
          <w:rFonts w:cs="Arial"/>
          <w:szCs w:val="22"/>
        </w:rPr>
        <w:t>Philips Austria GmbH</w:t>
      </w:r>
    </w:p>
    <w:p w:rsidR="003A73B2" w:rsidRPr="007F31F5" w:rsidRDefault="003A73B2" w:rsidP="003A73B2">
      <w:pPr>
        <w:ind w:right="-567"/>
        <w:rPr>
          <w:rFonts w:cs="Arial"/>
          <w:szCs w:val="22"/>
          <w:lang w:val="de-AT"/>
        </w:rPr>
      </w:pPr>
      <w:r w:rsidRPr="007F31F5">
        <w:rPr>
          <w:rFonts w:cs="Arial"/>
          <w:szCs w:val="22"/>
          <w:lang w:val="de-AT"/>
        </w:rPr>
        <w:t>Euro Plaza, Kranichberggasse 4, 1120 Wien</w:t>
      </w:r>
    </w:p>
    <w:p w:rsidR="003A73B2" w:rsidRPr="003A73B2" w:rsidRDefault="003A73B2" w:rsidP="003A73B2">
      <w:pPr>
        <w:ind w:right="-567"/>
        <w:rPr>
          <w:rFonts w:cs="Arial"/>
          <w:szCs w:val="22"/>
          <w:lang w:val="de-DE"/>
        </w:rPr>
      </w:pPr>
      <w:r w:rsidRPr="007F31F5">
        <w:rPr>
          <w:rFonts w:cs="Arial"/>
          <w:szCs w:val="22"/>
          <w:lang w:val="de-AT"/>
        </w:rPr>
        <w:t xml:space="preserve">E-Mail: </w:t>
      </w:r>
      <w:r w:rsidRPr="003A73B2">
        <w:rPr>
          <w:rFonts w:cs="Arial"/>
          <w:szCs w:val="22"/>
          <w:lang w:val="de-DE"/>
        </w:rPr>
        <w:t>martha.salaquarda@philips.com</w:t>
      </w:r>
    </w:p>
    <w:p w:rsidR="003A73B2" w:rsidRPr="007F31F5" w:rsidRDefault="003A73B2" w:rsidP="003A73B2">
      <w:pPr>
        <w:ind w:right="-567"/>
        <w:rPr>
          <w:rFonts w:cs="Arial"/>
          <w:szCs w:val="22"/>
        </w:rPr>
      </w:pPr>
      <w:r w:rsidRPr="007F31F5">
        <w:rPr>
          <w:rFonts w:cs="Arial"/>
          <w:szCs w:val="22"/>
        </w:rPr>
        <w:t>Mobil: 0664/3806503</w:t>
      </w:r>
    </w:p>
    <w:p w:rsidR="003A73B2" w:rsidRPr="007F31F5" w:rsidRDefault="003A73B2" w:rsidP="003A73B2">
      <w:pPr>
        <w:ind w:right="-567"/>
        <w:rPr>
          <w:rFonts w:cs="Arial"/>
          <w:szCs w:val="22"/>
        </w:rPr>
      </w:pPr>
    </w:p>
    <w:p w:rsidR="003A73B2" w:rsidRPr="007F31F5" w:rsidRDefault="003A73B2" w:rsidP="003A73B2">
      <w:pPr>
        <w:ind w:right="-567"/>
        <w:rPr>
          <w:rFonts w:cs="Arial"/>
          <w:szCs w:val="22"/>
        </w:rPr>
      </w:pPr>
      <w:r w:rsidRPr="007F31F5">
        <w:rPr>
          <w:rFonts w:cs="Arial"/>
          <w:szCs w:val="22"/>
        </w:rPr>
        <w:t>Mag. Nina Stuttmann</w:t>
      </w:r>
    </w:p>
    <w:p w:rsidR="003A73B2" w:rsidRPr="007F31F5" w:rsidRDefault="003A73B2" w:rsidP="003A73B2">
      <w:pPr>
        <w:ind w:right="-567"/>
        <w:rPr>
          <w:rFonts w:cs="Arial"/>
          <w:szCs w:val="22"/>
        </w:rPr>
      </w:pPr>
      <w:r w:rsidRPr="007F31F5">
        <w:rPr>
          <w:rFonts w:cs="Arial"/>
          <w:szCs w:val="22"/>
        </w:rPr>
        <w:t>Head of Brand, Communication &amp; Digital</w:t>
      </w:r>
    </w:p>
    <w:p w:rsidR="003A73B2" w:rsidRPr="007F31F5" w:rsidRDefault="003A73B2" w:rsidP="003A73B2">
      <w:pPr>
        <w:ind w:right="-567"/>
        <w:rPr>
          <w:rFonts w:cs="Arial"/>
          <w:szCs w:val="22"/>
          <w:lang w:val="de-AT"/>
        </w:rPr>
      </w:pPr>
      <w:r w:rsidRPr="007F31F5">
        <w:rPr>
          <w:rFonts w:cs="Arial"/>
          <w:szCs w:val="22"/>
          <w:lang w:val="de-AT"/>
        </w:rPr>
        <w:t>Unternehmenssprecherin Philips Austria GmbH</w:t>
      </w:r>
    </w:p>
    <w:p w:rsidR="003A73B2" w:rsidRPr="007F31F5" w:rsidRDefault="003A73B2" w:rsidP="003A73B2">
      <w:pPr>
        <w:ind w:right="-567"/>
        <w:rPr>
          <w:rFonts w:cs="Arial"/>
          <w:szCs w:val="22"/>
          <w:lang w:val="de-AT"/>
        </w:rPr>
      </w:pPr>
      <w:r w:rsidRPr="007F31F5">
        <w:rPr>
          <w:rFonts w:cs="Arial"/>
          <w:szCs w:val="22"/>
          <w:lang w:val="de-AT"/>
        </w:rPr>
        <w:t>Mobil: 0664 8389016</w:t>
      </w:r>
    </w:p>
    <w:p w:rsidR="003A73B2" w:rsidRPr="007F31F5" w:rsidRDefault="003A73B2" w:rsidP="003A73B2">
      <w:pPr>
        <w:ind w:right="-567"/>
        <w:rPr>
          <w:rFonts w:cs="Arial"/>
          <w:szCs w:val="22"/>
          <w:lang w:val="de-AT"/>
        </w:rPr>
      </w:pPr>
      <w:r w:rsidRPr="007F31F5">
        <w:rPr>
          <w:rFonts w:cs="Arial"/>
          <w:szCs w:val="22"/>
          <w:lang w:val="de-AT"/>
        </w:rPr>
        <w:t>E-Mail: nina.stuttmann@philips.com</w:t>
      </w:r>
    </w:p>
    <w:p w:rsidR="003A73B2" w:rsidRPr="003A73B2" w:rsidRDefault="003A73B2" w:rsidP="00D964F8">
      <w:pPr>
        <w:rPr>
          <w:rFonts w:cs="Calibri"/>
          <w:szCs w:val="22"/>
          <w:lang w:val="de-AT"/>
        </w:rPr>
      </w:pPr>
    </w:p>
    <w:p w:rsidR="005F0819" w:rsidRDefault="005F0819" w:rsidP="005F0819">
      <w:pPr>
        <w:rPr>
          <w:rFonts w:ascii="Arial" w:hAnsi="Arial" w:cs="Arial"/>
          <w:b/>
          <w:bCs/>
          <w:sz w:val="20"/>
          <w:lang w:val="de-DE" w:eastAsia="en-US"/>
        </w:rPr>
      </w:pPr>
      <w:r>
        <w:rPr>
          <w:rFonts w:ascii="Arial" w:hAnsi="Arial" w:cs="Arial"/>
          <w:b/>
          <w:bCs/>
          <w:sz w:val="20"/>
          <w:lang w:val="de-DE" w:eastAsia="en-US"/>
        </w:rPr>
        <w:t>Über Royal Philips</w:t>
      </w:r>
    </w:p>
    <w:p w:rsidR="00225849" w:rsidRPr="005F0819" w:rsidRDefault="005F0819" w:rsidP="00C97C76">
      <w:pPr>
        <w:rPr>
          <w:rFonts w:ascii="Arial" w:hAnsi="Arial" w:cs="Arial"/>
          <w:sz w:val="20"/>
          <w:lang w:val="de-DE" w:eastAsia="de-AT"/>
        </w:rPr>
      </w:pPr>
      <w:r>
        <w:rPr>
          <w:rFonts w:ascii="Arial" w:hAnsi="Arial" w:cs="Arial"/>
          <w:sz w:val="20"/>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Healthcare, Consumer Lifestyle und Lighting. Philips beschäftigt etwa 108.000 Mitarbeiter in mehr als 100 Ländern und erzielte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 </w:t>
      </w:r>
      <w:hyperlink r:id="rId11" w:history="1">
        <w:r>
          <w:rPr>
            <w:rStyle w:val="Hyperlink"/>
            <w:rFonts w:ascii="Arial" w:hAnsi="Arial" w:cs="Arial"/>
            <w:sz w:val="20"/>
            <w:lang w:val="de-DE"/>
          </w:rPr>
          <w:t>www.philips.at</w:t>
        </w:r>
      </w:hyperlink>
      <w:bookmarkStart w:id="1" w:name="_GoBack"/>
      <w:bookmarkEnd w:id="1"/>
    </w:p>
    <w:sectPr w:rsidR="00225849" w:rsidRPr="005F0819" w:rsidSect="001C2732">
      <w:headerReference w:type="even" r:id="rId12"/>
      <w:headerReference w:type="default" r:id="rId13"/>
      <w:footerReference w:type="even"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BF" w:rsidRDefault="003A78BF">
      <w:r>
        <w:separator/>
      </w:r>
    </w:p>
  </w:endnote>
  <w:endnote w:type="continuationSeparator" w:id="0">
    <w:p w:rsidR="003A78BF" w:rsidRDefault="003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BB" w:rsidRDefault="00FD2D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210A2B"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0850" cy="571500"/>
                <wp:effectExtent l="0" t="0" r="635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r w:rsidR="00141CBD" w:rsidRPr="00141CBD">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BF" w:rsidRDefault="003A78BF">
      <w:r>
        <w:separator/>
      </w:r>
    </w:p>
  </w:footnote>
  <w:footnote w:type="continuationSeparator" w:id="0">
    <w:p w:rsidR="003A78BF" w:rsidRDefault="003A7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BB" w:rsidRDefault="00FD2D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10A2B"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7E525D9E" wp14:editId="38DE8224">
          <wp:extent cx="1104900" cy="196850"/>
          <wp:effectExtent l="0" t="0" r="0" b="0"/>
          <wp:docPr id="1"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6850"/>
                  </a:xfrm>
                  <a:prstGeom prst="rect">
                    <a:avLst/>
                  </a:prstGeom>
                  <a:noFill/>
                  <a:ln>
                    <a:noFill/>
                  </a:ln>
                </pic:spPr>
              </pic:pic>
            </a:graphicData>
          </a:graphic>
        </wp:inline>
      </w:drawing>
    </w:r>
    <w:r w:rsidR="00141CBD" w:rsidRPr="00141CBD">
      <w:rPr>
        <w:rFonts w:cs="Calibri"/>
        <w:noProof/>
        <w:lang w:val="de-DE"/>
      </w:rPr>
      <w:t xml:space="preserve"> </w:t>
    </w:r>
    <w:bookmarkEnd w:id="2"/>
    <w:r w:rsidR="009E2945">
      <w:t xml:space="preserve"> </w:t>
    </w:r>
  </w:p>
  <w:p w:rsidR="00141CBD" w:rsidRDefault="00CD27BA">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141CBD" w:rsidRDefault="00141CBD" w:rsidP="00221DD3">
    <w:pPr>
      <w:framePr w:w="340" w:h="363" w:hRule="exact" w:hSpace="1191" w:wrap="around" w:vAnchor="page" w:hAnchor="page" w:xAlign="right" w:y="5388"/>
      <w:shd w:val="clear" w:color="FFFFFF" w:fill="auto"/>
      <w:rPr>
        <w:lang w:val="en-GB"/>
      </w:rPr>
    </w:pPr>
    <w:r>
      <w:rPr>
        <w:lang w:val="en-GB"/>
      </w:rPr>
      <w:t>_</w:t>
    </w:r>
  </w:p>
  <w:p w:rsidR="00141CBD" w:rsidRDefault="00141CBD">
    <w:pPr>
      <w:framePr w:w="340" w:h="1686" w:hRule="exact" w:wrap="around" w:vAnchor="page" w:hAnchor="page" w:x="404" w:y="6840"/>
      <w:shd w:val="clear" w:color="FFFFFF" w:fill="auto"/>
      <w:spacing w:before="880"/>
      <w:rPr>
        <w:lang w:val="en-GB"/>
      </w:rPr>
    </w:pPr>
    <w:r>
      <w:rPr>
        <w:lang w:val="en-GB"/>
      </w:rPr>
      <w:t>_</w:t>
    </w:r>
  </w:p>
  <w:p w:rsidR="005D0415" w:rsidRDefault="00CD27BA">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B9092C" w:rsidRPr="004839F9" w:rsidRDefault="006412EC" w:rsidP="00B9092C">
          <w:pPr>
            <w:rPr>
              <w:sz w:val="16"/>
              <w:szCs w:val="16"/>
            </w:rPr>
          </w:pPr>
          <w:bookmarkStart w:id="3" w:name="Page"/>
          <w:r>
            <w:rPr>
              <w:rFonts w:cs="Calibri"/>
              <w:sz w:val="16"/>
              <w:szCs w:val="16"/>
              <w:lang w:eastAsia="en-US"/>
            </w:rPr>
            <w:t>A</w:t>
          </w:r>
          <w:r w:rsidR="00C97C76">
            <w:rPr>
              <w:rFonts w:cs="Calibri"/>
              <w:sz w:val="16"/>
              <w:szCs w:val="16"/>
              <w:lang w:eastAsia="en-US"/>
            </w:rPr>
            <w:t>ugust</w:t>
          </w:r>
          <w:r w:rsidR="00B9092C" w:rsidRPr="00D768CC">
            <w:rPr>
              <w:rFonts w:cs="Calibri"/>
              <w:sz w:val="16"/>
              <w:szCs w:val="16"/>
              <w:lang w:eastAsia="en-US"/>
            </w:rPr>
            <w:t xml:space="preserve"> 201</w:t>
          </w:r>
          <w:r w:rsidR="00B9092C">
            <w:rPr>
              <w:rFonts w:cs="Calibri"/>
              <w:sz w:val="16"/>
              <w:szCs w:val="16"/>
              <w:lang w:eastAsia="en-US"/>
            </w:rPr>
            <w:t>5</w:t>
          </w:r>
        </w:p>
        <w:p w:rsidR="005D0415" w:rsidRPr="0001308C" w:rsidRDefault="00B9092C" w:rsidP="00B9092C">
          <w:pPr>
            <w:rPr>
              <w:sz w:val="16"/>
              <w:szCs w:val="16"/>
              <w:lang w:val="en-GB"/>
            </w:rPr>
          </w:pPr>
          <w:r>
            <w:rPr>
              <w:sz w:val="16"/>
              <w:szCs w:val="16"/>
              <w:lang w:val="en-GB"/>
            </w:rPr>
            <w:t>Seite:</w:t>
          </w:r>
          <w:bookmarkEnd w:id="3"/>
          <w:r w:rsidRPr="0001308C">
            <w:rPr>
              <w:sz w:val="16"/>
              <w:szCs w:val="16"/>
              <w:lang w:val="en-GB"/>
            </w:rPr>
            <w:t xml:space="preserve"> </w:t>
          </w:r>
          <w:r w:rsidR="00CD27BA" w:rsidRPr="0001308C">
            <w:rPr>
              <w:sz w:val="16"/>
              <w:szCs w:val="16"/>
              <w:lang w:val="en-GB"/>
            </w:rPr>
            <w:fldChar w:fldCharType="begin"/>
          </w:r>
          <w:r w:rsidRPr="0001308C">
            <w:rPr>
              <w:sz w:val="16"/>
              <w:szCs w:val="16"/>
              <w:lang w:val="en-GB"/>
            </w:rPr>
            <w:instrText xml:space="preserve"> Page </w:instrText>
          </w:r>
          <w:r w:rsidR="00CD27BA" w:rsidRPr="0001308C">
            <w:rPr>
              <w:sz w:val="16"/>
              <w:szCs w:val="16"/>
              <w:lang w:val="en-GB"/>
            </w:rPr>
            <w:fldChar w:fldCharType="separate"/>
          </w:r>
          <w:r w:rsidR="005F0819">
            <w:rPr>
              <w:noProof/>
              <w:sz w:val="16"/>
              <w:szCs w:val="16"/>
              <w:lang w:val="en-GB"/>
            </w:rPr>
            <w:t>2</w:t>
          </w:r>
          <w:r w:rsidR="00CD27BA"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962FEA">
    <w:pPr>
      <w:spacing w:line="240" w:lineRule="exact"/>
      <w:rPr>
        <w:lang w:val="en-GB"/>
      </w:rPr>
    </w:pPr>
    <w:r>
      <w:rPr>
        <w:noProof/>
        <w:lang w:val="de-DE"/>
      </w:rPr>
      <mc:AlternateContent>
        <mc:Choice Requires="wps">
          <w:drawing>
            <wp:anchor distT="4294967291" distB="4294967291"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12F67"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1" distB="4294967291"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B31D"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10A2B"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4350" cy="336550"/>
          <wp:effectExtent l="0" t="0" r="6350" b="6350"/>
          <wp:docPr id="2"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a:ln>
                    <a:noFill/>
                  </a:ln>
                </pic:spPr>
              </pic:pic>
            </a:graphicData>
          </a:graphic>
        </wp:inline>
      </w:drawing>
    </w:r>
    <w:r w:rsidR="00141CBD" w:rsidRPr="00141CBD">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05AE6"/>
    <w:rsid w:val="000129B9"/>
    <w:rsid w:val="0001308C"/>
    <w:rsid w:val="00014F84"/>
    <w:rsid w:val="00021955"/>
    <w:rsid w:val="000260FC"/>
    <w:rsid w:val="00035A19"/>
    <w:rsid w:val="00037F0D"/>
    <w:rsid w:val="00041670"/>
    <w:rsid w:val="00042FE5"/>
    <w:rsid w:val="00047D5C"/>
    <w:rsid w:val="00056E22"/>
    <w:rsid w:val="00061F58"/>
    <w:rsid w:val="00063670"/>
    <w:rsid w:val="00064D58"/>
    <w:rsid w:val="000716D6"/>
    <w:rsid w:val="000739DD"/>
    <w:rsid w:val="0007718C"/>
    <w:rsid w:val="00081964"/>
    <w:rsid w:val="00091FB2"/>
    <w:rsid w:val="0009263A"/>
    <w:rsid w:val="000943AB"/>
    <w:rsid w:val="0009471A"/>
    <w:rsid w:val="000A0C97"/>
    <w:rsid w:val="000A50B3"/>
    <w:rsid w:val="000B50AE"/>
    <w:rsid w:val="000C36F2"/>
    <w:rsid w:val="000C7CB9"/>
    <w:rsid w:val="000D2E72"/>
    <w:rsid w:val="000D3E99"/>
    <w:rsid w:val="000D5309"/>
    <w:rsid w:val="000E4D82"/>
    <w:rsid w:val="000F0507"/>
    <w:rsid w:val="000F2014"/>
    <w:rsid w:val="000F2F8C"/>
    <w:rsid w:val="000F713C"/>
    <w:rsid w:val="00104CEA"/>
    <w:rsid w:val="00110B19"/>
    <w:rsid w:val="00117A79"/>
    <w:rsid w:val="0012462A"/>
    <w:rsid w:val="00124843"/>
    <w:rsid w:val="00133548"/>
    <w:rsid w:val="00141CBD"/>
    <w:rsid w:val="00150E49"/>
    <w:rsid w:val="00195ADF"/>
    <w:rsid w:val="00195C05"/>
    <w:rsid w:val="001A19B9"/>
    <w:rsid w:val="001A59A6"/>
    <w:rsid w:val="001C2732"/>
    <w:rsid w:val="001D6BEB"/>
    <w:rsid w:val="001E0E74"/>
    <w:rsid w:val="001E388F"/>
    <w:rsid w:val="001E4783"/>
    <w:rsid w:val="001E7B4E"/>
    <w:rsid w:val="001F20C1"/>
    <w:rsid w:val="001F7171"/>
    <w:rsid w:val="00205E8C"/>
    <w:rsid w:val="00210A2B"/>
    <w:rsid w:val="00216DAF"/>
    <w:rsid w:val="00221DD3"/>
    <w:rsid w:val="00224E19"/>
    <w:rsid w:val="002251DC"/>
    <w:rsid w:val="00225849"/>
    <w:rsid w:val="00242321"/>
    <w:rsid w:val="00255825"/>
    <w:rsid w:val="002566B8"/>
    <w:rsid w:val="00260B7D"/>
    <w:rsid w:val="00264E06"/>
    <w:rsid w:val="0026537E"/>
    <w:rsid w:val="00274407"/>
    <w:rsid w:val="00294180"/>
    <w:rsid w:val="002A2AA4"/>
    <w:rsid w:val="002A5EA6"/>
    <w:rsid w:val="002B6E9D"/>
    <w:rsid w:val="002B7A9C"/>
    <w:rsid w:val="002C3953"/>
    <w:rsid w:val="002C7229"/>
    <w:rsid w:val="002D465C"/>
    <w:rsid w:val="002E2AE1"/>
    <w:rsid w:val="002E6842"/>
    <w:rsid w:val="002F1CB2"/>
    <w:rsid w:val="002F3785"/>
    <w:rsid w:val="002F7FAA"/>
    <w:rsid w:val="00303852"/>
    <w:rsid w:val="003105DD"/>
    <w:rsid w:val="0032047C"/>
    <w:rsid w:val="003208C8"/>
    <w:rsid w:val="00321D12"/>
    <w:rsid w:val="0032484E"/>
    <w:rsid w:val="00326C5C"/>
    <w:rsid w:val="003278A8"/>
    <w:rsid w:val="00334962"/>
    <w:rsid w:val="00347FA3"/>
    <w:rsid w:val="00350F6A"/>
    <w:rsid w:val="0035650B"/>
    <w:rsid w:val="0036029F"/>
    <w:rsid w:val="00362BF0"/>
    <w:rsid w:val="00362C9D"/>
    <w:rsid w:val="00363923"/>
    <w:rsid w:val="00383300"/>
    <w:rsid w:val="003A73B2"/>
    <w:rsid w:val="003A78BF"/>
    <w:rsid w:val="003C7BC4"/>
    <w:rsid w:val="003E2C81"/>
    <w:rsid w:val="003E696C"/>
    <w:rsid w:val="004033EC"/>
    <w:rsid w:val="00412931"/>
    <w:rsid w:val="00431130"/>
    <w:rsid w:val="004339B0"/>
    <w:rsid w:val="00445D4F"/>
    <w:rsid w:val="0044687A"/>
    <w:rsid w:val="004538EB"/>
    <w:rsid w:val="00461B46"/>
    <w:rsid w:val="00463973"/>
    <w:rsid w:val="00464CE7"/>
    <w:rsid w:val="0046673D"/>
    <w:rsid w:val="004821C5"/>
    <w:rsid w:val="004839F9"/>
    <w:rsid w:val="00491078"/>
    <w:rsid w:val="004A084D"/>
    <w:rsid w:val="004A3BC2"/>
    <w:rsid w:val="004B4E4C"/>
    <w:rsid w:val="004B5FBC"/>
    <w:rsid w:val="004D5872"/>
    <w:rsid w:val="004E6C2B"/>
    <w:rsid w:val="004F53EF"/>
    <w:rsid w:val="00503D55"/>
    <w:rsid w:val="00504D3E"/>
    <w:rsid w:val="00510B95"/>
    <w:rsid w:val="005142FF"/>
    <w:rsid w:val="00514AB2"/>
    <w:rsid w:val="00515460"/>
    <w:rsid w:val="0052267A"/>
    <w:rsid w:val="00524430"/>
    <w:rsid w:val="0053224A"/>
    <w:rsid w:val="0053500C"/>
    <w:rsid w:val="0054717D"/>
    <w:rsid w:val="00553441"/>
    <w:rsid w:val="005622C0"/>
    <w:rsid w:val="00567F5D"/>
    <w:rsid w:val="00570A71"/>
    <w:rsid w:val="00580EC0"/>
    <w:rsid w:val="00591CBB"/>
    <w:rsid w:val="00596E4B"/>
    <w:rsid w:val="005A0B1A"/>
    <w:rsid w:val="005D0415"/>
    <w:rsid w:val="005D4535"/>
    <w:rsid w:val="005F0819"/>
    <w:rsid w:val="005F7F3F"/>
    <w:rsid w:val="00600FEC"/>
    <w:rsid w:val="0060195B"/>
    <w:rsid w:val="006110EB"/>
    <w:rsid w:val="006204FC"/>
    <w:rsid w:val="00621541"/>
    <w:rsid w:val="00621DD7"/>
    <w:rsid w:val="00626801"/>
    <w:rsid w:val="006412EC"/>
    <w:rsid w:val="006456D8"/>
    <w:rsid w:val="00655FD3"/>
    <w:rsid w:val="00671080"/>
    <w:rsid w:val="00671BF6"/>
    <w:rsid w:val="0067536E"/>
    <w:rsid w:val="006769C4"/>
    <w:rsid w:val="00692709"/>
    <w:rsid w:val="00694039"/>
    <w:rsid w:val="00695D86"/>
    <w:rsid w:val="006A5164"/>
    <w:rsid w:val="006B65E0"/>
    <w:rsid w:val="006D40B8"/>
    <w:rsid w:val="006D6BA4"/>
    <w:rsid w:val="006D77D5"/>
    <w:rsid w:val="006D7A4F"/>
    <w:rsid w:val="006E365A"/>
    <w:rsid w:val="006F228B"/>
    <w:rsid w:val="006F50A9"/>
    <w:rsid w:val="00700037"/>
    <w:rsid w:val="00700F5A"/>
    <w:rsid w:val="00713A54"/>
    <w:rsid w:val="00715638"/>
    <w:rsid w:val="00717975"/>
    <w:rsid w:val="00717AC7"/>
    <w:rsid w:val="0072438F"/>
    <w:rsid w:val="007265AF"/>
    <w:rsid w:val="0073157C"/>
    <w:rsid w:val="007419B6"/>
    <w:rsid w:val="007450AA"/>
    <w:rsid w:val="00746C82"/>
    <w:rsid w:val="00750291"/>
    <w:rsid w:val="007544DB"/>
    <w:rsid w:val="00754D1D"/>
    <w:rsid w:val="00754E15"/>
    <w:rsid w:val="00756268"/>
    <w:rsid w:val="0076069B"/>
    <w:rsid w:val="00765796"/>
    <w:rsid w:val="00767F9F"/>
    <w:rsid w:val="007740EE"/>
    <w:rsid w:val="007852E7"/>
    <w:rsid w:val="0079197B"/>
    <w:rsid w:val="00794DF8"/>
    <w:rsid w:val="007974C4"/>
    <w:rsid w:val="007B1B4C"/>
    <w:rsid w:val="007B3875"/>
    <w:rsid w:val="007B7A09"/>
    <w:rsid w:val="007B7B75"/>
    <w:rsid w:val="007D253C"/>
    <w:rsid w:val="007D3EC9"/>
    <w:rsid w:val="007D4B24"/>
    <w:rsid w:val="007E7513"/>
    <w:rsid w:val="007E7D83"/>
    <w:rsid w:val="007F31F5"/>
    <w:rsid w:val="007F663B"/>
    <w:rsid w:val="00801EEE"/>
    <w:rsid w:val="008065CA"/>
    <w:rsid w:val="008104E1"/>
    <w:rsid w:val="00817D5D"/>
    <w:rsid w:val="00831246"/>
    <w:rsid w:val="00837998"/>
    <w:rsid w:val="008608DA"/>
    <w:rsid w:val="00880FB4"/>
    <w:rsid w:val="00891C5A"/>
    <w:rsid w:val="00893E98"/>
    <w:rsid w:val="008A5A22"/>
    <w:rsid w:val="008B09FD"/>
    <w:rsid w:val="008B7637"/>
    <w:rsid w:val="008B7FD5"/>
    <w:rsid w:val="008C731D"/>
    <w:rsid w:val="008C7D81"/>
    <w:rsid w:val="008D33BF"/>
    <w:rsid w:val="008D5BB2"/>
    <w:rsid w:val="008D5EB4"/>
    <w:rsid w:val="008F0376"/>
    <w:rsid w:val="008F3B50"/>
    <w:rsid w:val="008F4C19"/>
    <w:rsid w:val="008F6A63"/>
    <w:rsid w:val="008F7DC3"/>
    <w:rsid w:val="00900711"/>
    <w:rsid w:val="009234D7"/>
    <w:rsid w:val="009249FF"/>
    <w:rsid w:val="009432E0"/>
    <w:rsid w:val="0094371D"/>
    <w:rsid w:val="0094567F"/>
    <w:rsid w:val="00961751"/>
    <w:rsid w:val="00962D0E"/>
    <w:rsid w:val="00962FEA"/>
    <w:rsid w:val="00963C38"/>
    <w:rsid w:val="00976DEC"/>
    <w:rsid w:val="009836E6"/>
    <w:rsid w:val="00985A19"/>
    <w:rsid w:val="009922DB"/>
    <w:rsid w:val="0099247B"/>
    <w:rsid w:val="00993986"/>
    <w:rsid w:val="0099456C"/>
    <w:rsid w:val="00994DFE"/>
    <w:rsid w:val="009A302D"/>
    <w:rsid w:val="009A335E"/>
    <w:rsid w:val="009B03CB"/>
    <w:rsid w:val="009B05E5"/>
    <w:rsid w:val="009C1A51"/>
    <w:rsid w:val="009C617B"/>
    <w:rsid w:val="009D026B"/>
    <w:rsid w:val="009D042D"/>
    <w:rsid w:val="009D0765"/>
    <w:rsid w:val="009D3885"/>
    <w:rsid w:val="009D62F2"/>
    <w:rsid w:val="009E2945"/>
    <w:rsid w:val="009E523C"/>
    <w:rsid w:val="009F0F23"/>
    <w:rsid w:val="00A0626A"/>
    <w:rsid w:val="00A12972"/>
    <w:rsid w:val="00A16DDE"/>
    <w:rsid w:val="00A241E6"/>
    <w:rsid w:val="00A4142E"/>
    <w:rsid w:val="00A45509"/>
    <w:rsid w:val="00A507AE"/>
    <w:rsid w:val="00A56244"/>
    <w:rsid w:val="00A579C6"/>
    <w:rsid w:val="00A613E1"/>
    <w:rsid w:val="00A81EAF"/>
    <w:rsid w:val="00A90940"/>
    <w:rsid w:val="00A939CF"/>
    <w:rsid w:val="00AA1551"/>
    <w:rsid w:val="00AA3BCC"/>
    <w:rsid w:val="00AB1495"/>
    <w:rsid w:val="00AB20EA"/>
    <w:rsid w:val="00AC16BE"/>
    <w:rsid w:val="00AD6ADD"/>
    <w:rsid w:val="00AD6CC5"/>
    <w:rsid w:val="00AD7FD4"/>
    <w:rsid w:val="00AE0637"/>
    <w:rsid w:val="00AE3314"/>
    <w:rsid w:val="00AF2B41"/>
    <w:rsid w:val="00AF74AD"/>
    <w:rsid w:val="00AF758E"/>
    <w:rsid w:val="00B14787"/>
    <w:rsid w:val="00B17D37"/>
    <w:rsid w:val="00B22224"/>
    <w:rsid w:val="00B2716C"/>
    <w:rsid w:val="00B279D3"/>
    <w:rsid w:val="00B57495"/>
    <w:rsid w:val="00B63A04"/>
    <w:rsid w:val="00B64A27"/>
    <w:rsid w:val="00B728A6"/>
    <w:rsid w:val="00B748FF"/>
    <w:rsid w:val="00B75679"/>
    <w:rsid w:val="00B77B78"/>
    <w:rsid w:val="00B83992"/>
    <w:rsid w:val="00B9092C"/>
    <w:rsid w:val="00BA1932"/>
    <w:rsid w:val="00BA19E6"/>
    <w:rsid w:val="00BA1E7F"/>
    <w:rsid w:val="00BA71D4"/>
    <w:rsid w:val="00BB3AE4"/>
    <w:rsid w:val="00BC05B8"/>
    <w:rsid w:val="00BC0B28"/>
    <w:rsid w:val="00BD620D"/>
    <w:rsid w:val="00BF6C4A"/>
    <w:rsid w:val="00C15470"/>
    <w:rsid w:val="00C16D9B"/>
    <w:rsid w:val="00C262C1"/>
    <w:rsid w:val="00C335AA"/>
    <w:rsid w:val="00C34F31"/>
    <w:rsid w:val="00C35879"/>
    <w:rsid w:val="00C42352"/>
    <w:rsid w:val="00C575CF"/>
    <w:rsid w:val="00C612D6"/>
    <w:rsid w:val="00C73796"/>
    <w:rsid w:val="00C74E33"/>
    <w:rsid w:val="00C80E08"/>
    <w:rsid w:val="00C90041"/>
    <w:rsid w:val="00C96175"/>
    <w:rsid w:val="00C97C76"/>
    <w:rsid w:val="00CB302A"/>
    <w:rsid w:val="00CC4CE1"/>
    <w:rsid w:val="00CC685A"/>
    <w:rsid w:val="00CD27BA"/>
    <w:rsid w:val="00CD3E78"/>
    <w:rsid w:val="00CE46FA"/>
    <w:rsid w:val="00CE713D"/>
    <w:rsid w:val="00CF4B64"/>
    <w:rsid w:val="00CF4E87"/>
    <w:rsid w:val="00CF50B9"/>
    <w:rsid w:val="00D009FF"/>
    <w:rsid w:val="00D1118A"/>
    <w:rsid w:val="00D17ECB"/>
    <w:rsid w:val="00D26E5E"/>
    <w:rsid w:val="00D31A0E"/>
    <w:rsid w:val="00D426B5"/>
    <w:rsid w:val="00D56FC7"/>
    <w:rsid w:val="00D57748"/>
    <w:rsid w:val="00D60AE9"/>
    <w:rsid w:val="00D62280"/>
    <w:rsid w:val="00D67CA7"/>
    <w:rsid w:val="00D768CC"/>
    <w:rsid w:val="00D76CA6"/>
    <w:rsid w:val="00D816A1"/>
    <w:rsid w:val="00D8742D"/>
    <w:rsid w:val="00D901BA"/>
    <w:rsid w:val="00D93ACF"/>
    <w:rsid w:val="00D947D2"/>
    <w:rsid w:val="00D948B8"/>
    <w:rsid w:val="00D957C3"/>
    <w:rsid w:val="00D964F8"/>
    <w:rsid w:val="00DA07FD"/>
    <w:rsid w:val="00DA1831"/>
    <w:rsid w:val="00DA60CC"/>
    <w:rsid w:val="00DB0D0D"/>
    <w:rsid w:val="00DC72B7"/>
    <w:rsid w:val="00DD3D62"/>
    <w:rsid w:val="00DD5243"/>
    <w:rsid w:val="00DE5CC8"/>
    <w:rsid w:val="00DE5EA6"/>
    <w:rsid w:val="00DF4C76"/>
    <w:rsid w:val="00E10A1F"/>
    <w:rsid w:val="00E17F57"/>
    <w:rsid w:val="00E201D8"/>
    <w:rsid w:val="00E2088F"/>
    <w:rsid w:val="00E40199"/>
    <w:rsid w:val="00E422BD"/>
    <w:rsid w:val="00E439A6"/>
    <w:rsid w:val="00E45978"/>
    <w:rsid w:val="00E502E5"/>
    <w:rsid w:val="00E50437"/>
    <w:rsid w:val="00E529B9"/>
    <w:rsid w:val="00E554FE"/>
    <w:rsid w:val="00E60953"/>
    <w:rsid w:val="00E62463"/>
    <w:rsid w:val="00E667D9"/>
    <w:rsid w:val="00E70F79"/>
    <w:rsid w:val="00E71638"/>
    <w:rsid w:val="00E732AD"/>
    <w:rsid w:val="00E73C6E"/>
    <w:rsid w:val="00E74387"/>
    <w:rsid w:val="00E7471D"/>
    <w:rsid w:val="00E75F6B"/>
    <w:rsid w:val="00E84385"/>
    <w:rsid w:val="00E85731"/>
    <w:rsid w:val="00EA175A"/>
    <w:rsid w:val="00EA46B6"/>
    <w:rsid w:val="00EB1008"/>
    <w:rsid w:val="00EB207D"/>
    <w:rsid w:val="00EC1BB9"/>
    <w:rsid w:val="00EC7BB4"/>
    <w:rsid w:val="00EE31F5"/>
    <w:rsid w:val="00EF1DC0"/>
    <w:rsid w:val="00F0372F"/>
    <w:rsid w:val="00F07497"/>
    <w:rsid w:val="00F224EF"/>
    <w:rsid w:val="00F26357"/>
    <w:rsid w:val="00F275EA"/>
    <w:rsid w:val="00F30804"/>
    <w:rsid w:val="00F30F09"/>
    <w:rsid w:val="00F31B17"/>
    <w:rsid w:val="00F3447E"/>
    <w:rsid w:val="00F34658"/>
    <w:rsid w:val="00F42983"/>
    <w:rsid w:val="00F63D95"/>
    <w:rsid w:val="00F64725"/>
    <w:rsid w:val="00F72B37"/>
    <w:rsid w:val="00F77841"/>
    <w:rsid w:val="00F77C4A"/>
    <w:rsid w:val="00F8488C"/>
    <w:rsid w:val="00F85737"/>
    <w:rsid w:val="00F85DFC"/>
    <w:rsid w:val="00F9574B"/>
    <w:rsid w:val="00FA040B"/>
    <w:rsid w:val="00FA14EC"/>
    <w:rsid w:val="00FA31C1"/>
    <w:rsid w:val="00FA4636"/>
    <w:rsid w:val="00FB326A"/>
    <w:rsid w:val="00FB5766"/>
    <w:rsid w:val="00FD2B8A"/>
    <w:rsid w:val="00FD2DBB"/>
    <w:rsid w:val="00FE157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67A85E-0D54-4AB9-BE2C-5EE297A8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5649">
      <w:bodyDiv w:val="1"/>
      <w:marLeft w:val="0"/>
      <w:marRight w:val="0"/>
      <w:marTop w:val="0"/>
      <w:marBottom w:val="0"/>
      <w:divBdr>
        <w:top w:val="none" w:sz="0" w:space="0" w:color="auto"/>
        <w:left w:val="none" w:sz="0" w:space="0" w:color="auto"/>
        <w:bottom w:val="none" w:sz="0" w:space="0" w:color="auto"/>
        <w:right w:val="none" w:sz="0" w:space="0" w:color="auto"/>
      </w:divBdr>
    </w:div>
    <w:div w:id="1134252849">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ilips.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3.xml><?xml version="1.0" encoding="utf-8"?>
<ds:datastoreItem xmlns:ds="http://schemas.openxmlformats.org/officeDocument/2006/customXml" ds:itemID="{B47E9C45-2D71-4B21-BC41-437C5E71AD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A291A-7AB1-4E0D-9EF6-E7052825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3445</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Dolezal, Stefan</cp:lastModifiedBy>
  <cp:revision>7</cp:revision>
  <cp:lastPrinted>2015-02-25T08:37:00Z</cp:lastPrinted>
  <dcterms:created xsi:type="dcterms:W3CDTF">2015-07-22T11:41:00Z</dcterms:created>
  <dcterms:modified xsi:type="dcterms:W3CDTF">2015-08-11T15:22:00Z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